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90C" w:rsidRDefault="0032675C" w:rsidP="00F74556">
      <w:pPr>
        <w:spacing w:before="0" w:after="200"/>
        <w:ind w:left="0" w:firstLine="0"/>
        <w:rPr>
          <w:rFonts w:asciiTheme="majorHAnsi" w:hAnsiTheme="majorHAnsi"/>
          <w:b/>
          <w:sz w:val="28"/>
          <w:szCs w:val="28"/>
        </w:rPr>
      </w:pPr>
      <w:bookmarkStart w:id="0" w:name="_GoBack"/>
      <w:bookmarkEnd w:id="0"/>
      <w:proofErr w:type="spellStart"/>
      <w:r>
        <w:rPr>
          <w:rFonts w:asciiTheme="majorHAnsi" w:hAnsiTheme="majorHAnsi"/>
          <w:b/>
          <w:sz w:val="28"/>
          <w:szCs w:val="28"/>
        </w:rPr>
        <w:t>TongaHealth</w:t>
      </w:r>
      <w:proofErr w:type="spellEnd"/>
      <w:r>
        <w:rPr>
          <w:rFonts w:asciiTheme="majorHAnsi" w:hAnsiTheme="majorHAnsi"/>
          <w:b/>
          <w:sz w:val="28"/>
          <w:szCs w:val="28"/>
        </w:rPr>
        <w:t xml:space="preserve"> </w:t>
      </w:r>
      <w:r w:rsidR="001778C9">
        <w:rPr>
          <w:rFonts w:asciiTheme="majorHAnsi" w:hAnsiTheme="majorHAnsi"/>
          <w:b/>
          <w:sz w:val="28"/>
          <w:szCs w:val="28"/>
        </w:rPr>
        <w:t>Annual Business Plan and Budget 201</w:t>
      </w:r>
      <w:r w:rsidR="004647F7">
        <w:rPr>
          <w:rFonts w:asciiTheme="majorHAnsi" w:hAnsiTheme="majorHAnsi"/>
          <w:b/>
          <w:sz w:val="28"/>
          <w:szCs w:val="28"/>
        </w:rPr>
        <w:t>6</w:t>
      </w:r>
      <w:r w:rsidR="001778C9">
        <w:rPr>
          <w:rFonts w:asciiTheme="majorHAnsi" w:hAnsiTheme="majorHAnsi"/>
          <w:b/>
          <w:sz w:val="28"/>
          <w:szCs w:val="28"/>
        </w:rPr>
        <w:t>-1</w:t>
      </w:r>
      <w:r w:rsidR="004647F7">
        <w:rPr>
          <w:rFonts w:asciiTheme="majorHAnsi" w:hAnsiTheme="majorHAnsi"/>
          <w:b/>
          <w:sz w:val="28"/>
          <w:szCs w:val="28"/>
        </w:rPr>
        <w:t>7</w:t>
      </w:r>
    </w:p>
    <w:p w:rsidR="0032675C" w:rsidRDefault="0032675C" w:rsidP="00F74556">
      <w:pPr>
        <w:spacing w:before="200" w:after="60"/>
        <w:ind w:left="0" w:firstLine="0"/>
        <w:rPr>
          <w:rFonts w:asciiTheme="majorHAnsi" w:hAnsiTheme="majorHAnsi"/>
          <w:b/>
        </w:rPr>
      </w:pPr>
      <w:r>
        <w:rPr>
          <w:rFonts w:asciiTheme="majorHAnsi" w:hAnsiTheme="majorHAnsi"/>
          <w:b/>
        </w:rPr>
        <w:t>1. Vision</w:t>
      </w:r>
    </w:p>
    <w:p w:rsidR="0032675C" w:rsidRDefault="0032675C" w:rsidP="0032675C">
      <w:pPr>
        <w:spacing w:before="60" w:after="60"/>
        <w:ind w:left="0" w:firstLine="0"/>
        <w:rPr>
          <w:rFonts w:asciiTheme="majorHAnsi" w:hAnsiTheme="majorHAnsi"/>
        </w:rPr>
      </w:pPr>
      <w:r>
        <w:rPr>
          <w:rFonts w:asciiTheme="majorHAnsi" w:hAnsiTheme="majorHAnsi"/>
        </w:rPr>
        <w:t>A healthy Tonga where everyone is responsible for promoting health and everyone shares in the benefits of a healthy population.</w:t>
      </w:r>
    </w:p>
    <w:p w:rsidR="00C81E70" w:rsidRDefault="00C81E70" w:rsidP="0032675C">
      <w:pPr>
        <w:spacing w:before="60" w:after="60"/>
        <w:ind w:left="0" w:firstLine="0"/>
        <w:rPr>
          <w:rFonts w:asciiTheme="majorHAnsi" w:hAnsiTheme="majorHAnsi"/>
          <w:b/>
        </w:rPr>
      </w:pPr>
    </w:p>
    <w:p w:rsidR="00CE04BA" w:rsidRPr="00CE04BA" w:rsidRDefault="00CE04BA" w:rsidP="0032675C">
      <w:pPr>
        <w:spacing w:before="60" w:after="60"/>
        <w:ind w:left="0" w:firstLine="0"/>
        <w:rPr>
          <w:rFonts w:asciiTheme="majorHAnsi" w:hAnsiTheme="majorHAnsi"/>
          <w:b/>
        </w:rPr>
      </w:pPr>
      <w:r w:rsidRPr="00CE04BA">
        <w:rPr>
          <w:rFonts w:asciiTheme="majorHAnsi" w:hAnsiTheme="majorHAnsi"/>
          <w:b/>
        </w:rPr>
        <w:t>2. Mission</w:t>
      </w:r>
    </w:p>
    <w:p w:rsidR="00C81E70" w:rsidRPr="00C81E70" w:rsidRDefault="007722D7" w:rsidP="00C81E70">
      <w:pPr>
        <w:rPr>
          <w:rFonts w:asciiTheme="majorHAnsi" w:hAnsiTheme="majorHAnsi"/>
          <w:lang w:val="en-US"/>
        </w:rPr>
      </w:pPr>
      <w:proofErr w:type="spellStart"/>
      <w:r>
        <w:rPr>
          <w:rFonts w:asciiTheme="majorHAnsi" w:hAnsiTheme="majorHAnsi"/>
          <w:lang w:val="en-US"/>
        </w:rPr>
        <w:t>TongaHealth’s</w:t>
      </w:r>
      <w:proofErr w:type="spellEnd"/>
      <w:r w:rsidR="00C81E70" w:rsidRPr="00C81E70">
        <w:rPr>
          <w:rFonts w:asciiTheme="majorHAnsi" w:hAnsiTheme="majorHAnsi"/>
          <w:lang w:val="en-US"/>
        </w:rPr>
        <w:t xml:space="preserve"> Mission is to prevent and reduce harm from </w:t>
      </w:r>
      <w:r w:rsidR="00C81E70">
        <w:rPr>
          <w:rFonts w:asciiTheme="majorHAnsi" w:hAnsiTheme="majorHAnsi"/>
          <w:lang w:val="en-US"/>
        </w:rPr>
        <w:t>Non-Communicable Diseases (</w:t>
      </w:r>
      <w:r w:rsidR="00C81E70" w:rsidRPr="00C81E70">
        <w:rPr>
          <w:rFonts w:asciiTheme="majorHAnsi" w:hAnsiTheme="majorHAnsi"/>
          <w:lang w:val="en-US"/>
        </w:rPr>
        <w:t>NCDs</w:t>
      </w:r>
      <w:r w:rsidR="00C81E70">
        <w:rPr>
          <w:rFonts w:asciiTheme="majorHAnsi" w:hAnsiTheme="majorHAnsi"/>
          <w:lang w:val="en-US"/>
        </w:rPr>
        <w:t>)</w:t>
      </w:r>
      <w:r w:rsidR="00815453">
        <w:rPr>
          <w:rFonts w:asciiTheme="majorHAnsi" w:hAnsiTheme="majorHAnsi"/>
          <w:lang w:val="en-US"/>
        </w:rPr>
        <w:t>.</w:t>
      </w:r>
    </w:p>
    <w:p w:rsidR="0032675C" w:rsidRDefault="00CE04BA" w:rsidP="00F74556">
      <w:pPr>
        <w:spacing w:before="200" w:after="60"/>
        <w:ind w:left="0" w:firstLine="0"/>
        <w:rPr>
          <w:rFonts w:asciiTheme="majorHAnsi" w:hAnsiTheme="majorHAnsi"/>
          <w:b/>
        </w:rPr>
      </w:pPr>
      <w:r>
        <w:rPr>
          <w:rFonts w:asciiTheme="majorHAnsi" w:hAnsiTheme="majorHAnsi"/>
          <w:b/>
        </w:rPr>
        <w:t>3.</w:t>
      </w:r>
      <w:r w:rsidR="0032675C">
        <w:rPr>
          <w:rFonts w:asciiTheme="majorHAnsi" w:hAnsiTheme="majorHAnsi"/>
          <w:b/>
        </w:rPr>
        <w:t xml:space="preserve"> Objective</w:t>
      </w:r>
      <w:r w:rsidR="00E95B41">
        <w:rPr>
          <w:rFonts w:asciiTheme="majorHAnsi" w:hAnsiTheme="majorHAnsi"/>
          <w:b/>
        </w:rPr>
        <w:t>s</w:t>
      </w:r>
    </w:p>
    <w:p w:rsidR="002854D8" w:rsidRDefault="00CE04BA" w:rsidP="004D1840">
      <w:pPr>
        <w:spacing w:before="60" w:after="60"/>
        <w:ind w:left="0" w:firstLine="0"/>
        <w:rPr>
          <w:rFonts w:asciiTheme="majorHAnsi" w:hAnsiTheme="majorHAnsi"/>
        </w:rPr>
      </w:pPr>
      <w:r>
        <w:rPr>
          <w:rFonts w:asciiTheme="majorHAnsi" w:hAnsiTheme="majorHAnsi"/>
        </w:rPr>
        <w:t>The scope of activity is c</w:t>
      </w:r>
      <w:r w:rsidR="004D1840">
        <w:rPr>
          <w:rFonts w:asciiTheme="majorHAnsi" w:hAnsiTheme="majorHAnsi"/>
        </w:rPr>
        <w:t xml:space="preserve">onsistent with </w:t>
      </w:r>
      <w:r>
        <w:rPr>
          <w:rFonts w:asciiTheme="majorHAnsi" w:hAnsiTheme="majorHAnsi"/>
        </w:rPr>
        <w:t xml:space="preserve">the Health Promotion </w:t>
      </w:r>
      <w:r w:rsidR="00C81E70">
        <w:rPr>
          <w:rFonts w:asciiTheme="majorHAnsi" w:hAnsiTheme="majorHAnsi"/>
        </w:rPr>
        <w:t xml:space="preserve">Foundation </w:t>
      </w:r>
      <w:r>
        <w:rPr>
          <w:rFonts w:asciiTheme="majorHAnsi" w:hAnsiTheme="majorHAnsi"/>
        </w:rPr>
        <w:t xml:space="preserve">Act 2007, </w:t>
      </w:r>
      <w:r w:rsidR="004D1840">
        <w:rPr>
          <w:rFonts w:asciiTheme="majorHAnsi" w:hAnsiTheme="majorHAnsi"/>
        </w:rPr>
        <w:t>its role and function as secretariat to the National NCD</w:t>
      </w:r>
      <w:r>
        <w:rPr>
          <w:rFonts w:asciiTheme="majorHAnsi" w:hAnsiTheme="majorHAnsi"/>
        </w:rPr>
        <w:t>s</w:t>
      </w:r>
      <w:r w:rsidR="00815453">
        <w:rPr>
          <w:rFonts w:asciiTheme="majorHAnsi" w:hAnsiTheme="majorHAnsi"/>
        </w:rPr>
        <w:t xml:space="preserve"> </w:t>
      </w:r>
      <w:r>
        <w:rPr>
          <w:rFonts w:asciiTheme="majorHAnsi" w:hAnsiTheme="majorHAnsi"/>
        </w:rPr>
        <w:t xml:space="preserve">Committee </w:t>
      </w:r>
      <w:r w:rsidR="00692175">
        <w:rPr>
          <w:rFonts w:asciiTheme="majorHAnsi" w:hAnsiTheme="majorHAnsi"/>
        </w:rPr>
        <w:t xml:space="preserve">as </w:t>
      </w:r>
      <w:r>
        <w:rPr>
          <w:rFonts w:asciiTheme="majorHAnsi" w:hAnsiTheme="majorHAnsi"/>
        </w:rPr>
        <w:t xml:space="preserve">detailed in the MOU signed by the Chairman of the National NCDs Committee and the </w:t>
      </w:r>
      <w:proofErr w:type="spellStart"/>
      <w:r>
        <w:rPr>
          <w:rFonts w:asciiTheme="majorHAnsi" w:hAnsiTheme="majorHAnsi"/>
        </w:rPr>
        <w:t>TongaHealth</w:t>
      </w:r>
      <w:proofErr w:type="spellEnd"/>
      <w:r>
        <w:rPr>
          <w:rFonts w:asciiTheme="majorHAnsi" w:hAnsiTheme="majorHAnsi"/>
        </w:rPr>
        <w:t xml:space="preserve"> Board </w:t>
      </w:r>
      <w:proofErr w:type="gramStart"/>
      <w:r>
        <w:rPr>
          <w:rFonts w:asciiTheme="majorHAnsi" w:hAnsiTheme="majorHAnsi"/>
        </w:rPr>
        <w:t>Chairman ,</w:t>
      </w:r>
      <w:proofErr w:type="gramEnd"/>
      <w:r>
        <w:rPr>
          <w:rFonts w:asciiTheme="majorHAnsi" w:hAnsiTheme="majorHAnsi"/>
        </w:rPr>
        <w:t xml:space="preserve"> </w:t>
      </w:r>
      <w:r w:rsidR="00C81E70">
        <w:rPr>
          <w:rFonts w:asciiTheme="majorHAnsi" w:hAnsiTheme="majorHAnsi"/>
        </w:rPr>
        <w:t xml:space="preserve">the objectives and strategies of the National Strategy </w:t>
      </w:r>
      <w:r w:rsidR="00692175">
        <w:rPr>
          <w:rFonts w:asciiTheme="majorHAnsi" w:hAnsiTheme="majorHAnsi"/>
        </w:rPr>
        <w:t xml:space="preserve">for prevention and control of NCDs 2015-2020 (National NCDs Strategy 2015-2020), </w:t>
      </w:r>
      <w:r w:rsidR="00C900B9">
        <w:rPr>
          <w:rFonts w:asciiTheme="majorHAnsi" w:hAnsiTheme="majorHAnsi"/>
        </w:rPr>
        <w:t xml:space="preserve">the Statement of Corporate Intent 2016/2017, </w:t>
      </w:r>
      <w:r w:rsidR="00692175">
        <w:rPr>
          <w:rFonts w:asciiTheme="majorHAnsi" w:hAnsiTheme="majorHAnsi"/>
        </w:rPr>
        <w:t>and other</w:t>
      </w:r>
      <w:r w:rsidR="00815453">
        <w:rPr>
          <w:rFonts w:asciiTheme="majorHAnsi" w:hAnsiTheme="majorHAnsi"/>
        </w:rPr>
        <w:t xml:space="preserve"> existing </w:t>
      </w:r>
      <w:proofErr w:type="spellStart"/>
      <w:r w:rsidR="00815453">
        <w:rPr>
          <w:rFonts w:asciiTheme="majorHAnsi" w:hAnsiTheme="majorHAnsi"/>
        </w:rPr>
        <w:t>TongaHealth</w:t>
      </w:r>
      <w:proofErr w:type="spellEnd"/>
      <w:r w:rsidR="00815453">
        <w:rPr>
          <w:rFonts w:asciiTheme="majorHAnsi" w:hAnsiTheme="majorHAnsi"/>
        </w:rPr>
        <w:t xml:space="preserve"> policies.</w:t>
      </w:r>
    </w:p>
    <w:p w:rsidR="004D1840" w:rsidRDefault="00C81E70" w:rsidP="004D1840">
      <w:pPr>
        <w:spacing w:before="60" w:after="60"/>
        <w:ind w:left="0" w:firstLine="0"/>
        <w:rPr>
          <w:rFonts w:asciiTheme="majorHAnsi" w:hAnsiTheme="majorHAnsi"/>
        </w:rPr>
      </w:pPr>
      <w:r>
        <w:rPr>
          <w:rFonts w:asciiTheme="majorHAnsi" w:hAnsiTheme="majorHAnsi"/>
        </w:rPr>
        <w:t>I</w:t>
      </w:r>
      <w:r w:rsidR="00EF4C7B">
        <w:rPr>
          <w:rFonts w:asciiTheme="majorHAnsi" w:hAnsiTheme="majorHAnsi"/>
        </w:rPr>
        <w:t>n 201</w:t>
      </w:r>
      <w:r w:rsidR="004647F7">
        <w:rPr>
          <w:rFonts w:asciiTheme="majorHAnsi" w:hAnsiTheme="majorHAnsi"/>
        </w:rPr>
        <w:t>6</w:t>
      </w:r>
      <w:r w:rsidR="00EF4C7B">
        <w:rPr>
          <w:rFonts w:asciiTheme="majorHAnsi" w:hAnsiTheme="majorHAnsi"/>
        </w:rPr>
        <w:t>-1</w:t>
      </w:r>
      <w:r w:rsidR="004647F7">
        <w:rPr>
          <w:rFonts w:asciiTheme="majorHAnsi" w:hAnsiTheme="majorHAnsi"/>
        </w:rPr>
        <w:t>7</w:t>
      </w:r>
      <w:r w:rsidR="00EF4C7B">
        <w:rPr>
          <w:rFonts w:asciiTheme="majorHAnsi" w:hAnsiTheme="majorHAnsi"/>
        </w:rPr>
        <w:t xml:space="preserve"> </w:t>
      </w:r>
      <w:proofErr w:type="spellStart"/>
      <w:r w:rsidR="00EF4C7B">
        <w:rPr>
          <w:rFonts w:asciiTheme="majorHAnsi" w:hAnsiTheme="majorHAnsi"/>
        </w:rPr>
        <w:t>TongaHealth</w:t>
      </w:r>
      <w:proofErr w:type="spellEnd"/>
      <w:r w:rsidR="00EF4C7B">
        <w:rPr>
          <w:rFonts w:asciiTheme="majorHAnsi" w:hAnsiTheme="majorHAnsi"/>
        </w:rPr>
        <w:t xml:space="preserve"> will:</w:t>
      </w:r>
    </w:p>
    <w:p w:rsidR="005B1C00" w:rsidRPr="005B1C00" w:rsidRDefault="00EF4C7B" w:rsidP="005B1C00">
      <w:pPr>
        <w:pStyle w:val="ListParagraph"/>
        <w:numPr>
          <w:ilvl w:val="0"/>
          <w:numId w:val="37"/>
        </w:numPr>
        <w:spacing w:before="60" w:after="60"/>
        <w:rPr>
          <w:rFonts w:asciiTheme="majorHAnsi" w:hAnsiTheme="majorHAnsi"/>
        </w:rPr>
      </w:pPr>
      <w:r w:rsidRPr="005B1C00">
        <w:rPr>
          <w:rFonts w:asciiTheme="majorHAnsi" w:hAnsiTheme="majorHAnsi"/>
        </w:rPr>
        <w:t>Develop</w:t>
      </w:r>
      <w:r w:rsidR="00FC4831" w:rsidRPr="005B1C00">
        <w:rPr>
          <w:rFonts w:asciiTheme="majorHAnsi" w:hAnsiTheme="majorHAnsi"/>
        </w:rPr>
        <w:t xml:space="preserve"> and i</w:t>
      </w:r>
      <w:r w:rsidRPr="005B1C00">
        <w:rPr>
          <w:rFonts w:asciiTheme="majorHAnsi" w:hAnsiTheme="majorHAnsi"/>
        </w:rPr>
        <w:t>mplement</w:t>
      </w:r>
      <w:r w:rsidR="0032675C" w:rsidRPr="005B1C00">
        <w:rPr>
          <w:rFonts w:asciiTheme="majorHAnsi" w:hAnsiTheme="majorHAnsi"/>
        </w:rPr>
        <w:t xml:space="preserve"> a high quality grants program that efficiently and effectively supports</w:t>
      </w:r>
      <w:r w:rsidR="00E95B41" w:rsidRPr="005B1C00">
        <w:rPr>
          <w:rFonts w:asciiTheme="majorHAnsi" w:hAnsiTheme="majorHAnsi"/>
        </w:rPr>
        <w:t xml:space="preserve"> the delivery of health promotion activities pursuant to the National NCD</w:t>
      </w:r>
      <w:r w:rsidR="00F74556" w:rsidRPr="005B1C00">
        <w:rPr>
          <w:rFonts w:asciiTheme="majorHAnsi" w:hAnsiTheme="majorHAnsi"/>
        </w:rPr>
        <w:t>s</w:t>
      </w:r>
      <w:r w:rsidR="00E95B41" w:rsidRPr="005B1C00">
        <w:rPr>
          <w:rFonts w:asciiTheme="majorHAnsi" w:hAnsiTheme="majorHAnsi"/>
        </w:rPr>
        <w:t xml:space="preserve"> Strategy</w:t>
      </w:r>
      <w:r w:rsidR="00F74556" w:rsidRPr="005B1C00">
        <w:rPr>
          <w:rFonts w:asciiTheme="majorHAnsi" w:hAnsiTheme="majorHAnsi"/>
        </w:rPr>
        <w:t xml:space="preserve"> 2015-2020</w:t>
      </w:r>
      <w:r w:rsidR="00E95B41" w:rsidRPr="005B1C00">
        <w:rPr>
          <w:rFonts w:asciiTheme="majorHAnsi" w:hAnsiTheme="majorHAnsi"/>
        </w:rPr>
        <w:t>; and that engenders strong stakeholder trust and cooperation</w:t>
      </w:r>
    </w:p>
    <w:p w:rsidR="00FC4831" w:rsidRPr="005B1C00" w:rsidRDefault="00EF4C7B" w:rsidP="005B1C00">
      <w:pPr>
        <w:pStyle w:val="ListParagraph"/>
        <w:numPr>
          <w:ilvl w:val="0"/>
          <w:numId w:val="37"/>
        </w:numPr>
        <w:spacing w:before="60" w:after="60"/>
        <w:rPr>
          <w:rFonts w:asciiTheme="majorHAnsi" w:hAnsiTheme="majorHAnsi"/>
        </w:rPr>
      </w:pPr>
      <w:r w:rsidRPr="005B1C00">
        <w:rPr>
          <w:rFonts w:asciiTheme="majorHAnsi" w:hAnsiTheme="majorHAnsi"/>
        </w:rPr>
        <w:t xml:space="preserve">Identify and fund </w:t>
      </w:r>
      <w:r w:rsidR="00FC4831" w:rsidRPr="005B1C00">
        <w:rPr>
          <w:rFonts w:asciiTheme="majorHAnsi" w:hAnsiTheme="majorHAnsi"/>
        </w:rPr>
        <w:t>pr</w:t>
      </w:r>
      <w:r w:rsidR="00CC00D3" w:rsidRPr="005B1C00">
        <w:rPr>
          <w:rFonts w:asciiTheme="majorHAnsi" w:hAnsiTheme="majorHAnsi"/>
        </w:rPr>
        <w:t xml:space="preserve">iority research activities to support monitoring and evaluation of the </w:t>
      </w:r>
      <w:r w:rsidR="004D1840" w:rsidRPr="005B1C00">
        <w:rPr>
          <w:rFonts w:asciiTheme="majorHAnsi" w:hAnsiTheme="majorHAnsi"/>
        </w:rPr>
        <w:t xml:space="preserve">National </w:t>
      </w:r>
      <w:r w:rsidR="00CC00D3" w:rsidRPr="005B1C00">
        <w:rPr>
          <w:rFonts w:asciiTheme="majorHAnsi" w:hAnsiTheme="majorHAnsi"/>
        </w:rPr>
        <w:t>NCD</w:t>
      </w:r>
      <w:r w:rsidR="00F74556" w:rsidRPr="005B1C00">
        <w:rPr>
          <w:rFonts w:asciiTheme="majorHAnsi" w:hAnsiTheme="majorHAnsi"/>
        </w:rPr>
        <w:t>s</w:t>
      </w:r>
      <w:r w:rsidR="00CC00D3" w:rsidRPr="005B1C00">
        <w:rPr>
          <w:rFonts w:asciiTheme="majorHAnsi" w:hAnsiTheme="majorHAnsi"/>
        </w:rPr>
        <w:t xml:space="preserve"> Strategy </w:t>
      </w:r>
      <w:r w:rsidR="00F74556" w:rsidRPr="005B1C00">
        <w:rPr>
          <w:rFonts w:asciiTheme="majorHAnsi" w:hAnsiTheme="majorHAnsi"/>
        </w:rPr>
        <w:t>2015-2020.</w:t>
      </w:r>
    </w:p>
    <w:p w:rsidR="00692175" w:rsidRDefault="00692175" w:rsidP="00CC00D3">
      <w:pPr>
        <w:pStyle w:val="ListParagraph"/>
        <w:numPr>
          <w:ilvl w:val="0"/>
          <w:numId w:val="37"/>
        </w:numPr>
        <w:spacing w:before="60" w:after="60"/>
        <w:rPr>
          <w:rFonts w:asciiTheme="majorHAnsi" w:hAnsiTheme="majorHAnsi"/>
        </w:rPr>
      </w:pPr>
      <w:r>
        <w:rPr>
          <w:rFonts w:asciiTheme="majorHAnsi" w:hAnsiTheme="majorHAnsi"/>
        </w:rPr>
        <w:t>Build international connections to share good practice.</w:t>
      </w:r>
    </w:p>
    <w:p w:rsidR="002854D8" w:rsidRDefault="002854D8" w:rsidP="00CC00D3">
      <w:pPr>
        <w:pStyle w:val="ListParagraph"/>
        <w:numPr>
          <w:ilvl w:val="0"/>
          <w:numId w:val="37"/>
        </w:numPr>
        <w:spacing w:before="60" w:after="60"/>
        <w:rPr>
          <w:rFonts w:asciiTheme="majorHAnsi" w:hAnsiTheme="majorHAnsi"/>
        </w:rPr>
      </w:pPr>
      <w:r>
        <w:rPr>
          <w:rFonts w:asciiTheme="majorHAnsi" w:hAnsiTheme="majorHAnsi"/>
        </w:rPr>
        <w:t>Co</w:t>
      </w:r>
      <w:r w:rsidR="009E309E">
        <w:rPr>
          <w:rFonts w:asciiTheme="majorHAnsi" w:hAnsiTheme="majorHAnsi"/>
        </w:rPr>
        <w:t>ntinue with</w:t>
      </w:r>
      <w:r>
        <w:rPr>
          <w:rFonts w:asciiTheme="majorHAnsi" w:hAnsiTheme="majorHAnsi"/>
        </w:rPr>
        <w:t xml:space="preserve"> implementation of Capacity Develop</w:t>
      </w:r>
      <w:r w:rsidR="009E309E">
        <w:rPr>
          <w:rFonts w:asciiTheme="majorHAnsi" w:hAnsiTheme="majorHAnsi"/>
        </w:rPr>
        <w:t xml:space="preserve">ment </w:t>
      </w:r>
      <w:r>
        <w:rPr>
          <w:rFonts w:asciiTheme="majorHAnsi" w:hAnsiTheme="majorHAnsi"/>
        </w:rPr>
        <w:t xml:space="preserve"> Plan 2015-2020</w:t>
      </w:r>
    </w:p>
    <w:p w:rsidR="00BE1881" w:rsidRDefault="00BE1881" w:rsidP="00CC00D3">
      <w:pPr>
        <w:pStyle w:val="ListParagraph"/>
        <w:numPr>
          <w:ilvl w:val="0"/>
          <w:numId w:val="37"/>
        </w:numPr>
        <w:spacing w:before="60" w:after="60"/>
        <w:rPr>
          <w:rFonts w:asciiTheme="majorHAnsi" w:hAnsiTheme="majorHAnsi"/>
        </w:rPr>
      </w:pPr>
      <w:r>
        <w:rPr>
          <w:rFonts w:asciiTheme="majorHAnsi" w:hAnsiTheme="majorHAnsi"/>
        </w:rPr>
        <w:t>Implement the Communications Strategy 2016/2017</w:t>
      </w:r>
    </w:p>
    <w:p w:rsidR="00BE1881" w:rsidRDefault="00BE1881" w:rsidP="00CC00D3">
      <w:pPr>
        <w:pStyle w:val="ListParagraph"/>
        <w:numPr>
          <w:ilvl w:val="0"/>
          <w:numId w:val="37"/>
        </w:numPr>
        <w:spacing w:before="60" w:after="60"/>
        <w:rPr>
          <w:rFonts w:asciiTheme="majorHAnsi" w:hAnsiTheme="majorHAnsi"/>
        </w:rPr>
      </w:pPr>
      <w:r>
        <w:rPr>
          <w:rFonts w:asciiTheme="majorHAnsi" w:hAnsiTheme="majorHAnsi"/>
        </w:rPr>
        <w:t xml:space="preserve">Review all </w:t>
      </w:r>
      <w:proofErr w:type="spellStart"/>
      <w:r>
        <w:rPr>
          <w:rFonts w:asciiTheme="majorHAnsi" w:hAnsiTheme="majorHAnsi"/>
        </w:rPr>
        <w:t>TongaHealth</w:t>
      </w:r>
      <w:proofErr w:type="spellEnd"/>
      <w:r>
        <w:rPr>
          <w:rFonts w:asciiTheme="majorHAnsi" w:hAnsiTheme="majorHAnsi"/>
        </w:rPr>
        <w:t xml:space="preserve"> policies</w:t>
      </w:r>
    </w:p>
    <w:p w:rsidR="00867EFA" w:rsidRDefault="006D4FC1" w:rsidP="00CC00D3">
      <w:pPr>
        <w:pStyle w:val="ListParagraph"/>
        <w:numPr>
          <w:ilvl w:val="0"/>
          <w:numId w:val="37"/>
        </w:numPr>
        <w:spacing w:before="60" w:after="60"/>
        <w:rPr>
          <w:rFonts w:asciiTheme="majorHAnsi" w:hAnsiTheme="majorHAnsi"/>
        </w:rPr>
      </w:pPr>
      <w:r>
        <w:rPr>
          <w:rFonts w:asciiTheme="majorHAnsi" w:hAnsiTheme="majorHAnsi"/>
        </w:rPr>
        <w:t>Extend office accommodation to cater for expanded staff capacity</w:t>
      </w:r>
    </w:p>
    <w:p w:rsidR="006D4FC1" w:rsidRPr="00CC00D3" w:rsidRDefault="00867EFA" w:rsidP="00CC00D3">
      <w:pPr>
        <w:pStyle w:val="ListParagraph"/>
        <w:numPr>
          <w:ilvl w:val="0"/>
          <w:numId w:val="37"/>
        </w:numPr>
        <w:spacing w:before="60" w:after="60"/>
        <w:rPr>
          <w:rFonts w:asciiTheme="majorHAnsi" w:hAnsiTheme="majorHAnsi"/>
        </w:rPr>
      </w:pPr>
      <w:r>
        <w:rPr>
          <w:rFonts w:asciiTheme="majorHAnsi" w:hAnsiTheme="majorHAnsi"/>
        </w:rPr>
        <w:t>Seek other donors for increased funding pool for grants program</w:t>
      </w:r>
      <w:r w:rsidR="002854D8">
        <w:rPr>
          <w:rFonts w:asciiTheme="majorHAnsi" w:hAnsiTheme="majorHAnsi"/>
        </w:rPr>
        <w:t>.</w:t>
      </w:r>
    </w:p>
    <w:p w:rsidR="00747E44" w:rsidRDefault="00CE04BA" w:rsidP="00F74556">
      <w:pPr>
        <w:spacing w:before="200" w:after="60"/>
        <w:ind w:left="0" w:firstLine="0"/>
        <w:rPr>
          <w:rFonts w:asciiTheme="majorHAnsi" w:hAnsiTheme="majorHAnsi"/>
          <w:b/>
        </w:rPr>
      </w:pPr>
      <w:r>
        <w:rPr>
          <w:rFonts w:asciiTheme="majorHAnsi" w:hAnsiTheme="majorHAnsi"/>
          <w:b/>
        </w:rPr>
        <w:t>4</w:t>
      </w:r>
      <w:r w:rsidR="00747E44" w:rsidRPr="00747E44">
        <w:rPr>
          <w:rFonts w:asciiTheme="majorHAnsi" w:hAnsiTheme="majorHAnsi"/>
          <w:b/>
        </w:rPr>
        <w:t xml:space="preserve">. </w:t>
      </w:r>
      <w:r w:rsidR="0032675C">
        <w:rPr>
          <w:rFonts w:asciiTheme="majorHAnsi" w:hAnsiTheme="majorHAnsi"/>
          <w:b/>
        </w:rPr>
        <w:t>Background</w:t>
      </w:r>
    </w:p>
    <w:p w:rsidR="00EF4C7B" w:rsidRDefault="0032675C" w:rsidP="00BC0818">
      <w:pPr>
        <w:spacing w:before="60" w:after="60"/>
        <w:ind w:left="0" w:firstLine="0"/>
        <w:rPr>
          <w:rFonts w:asciiTheme="majorHAnsi" w:hAnsiTheme="majorHAnsi"/>
        </w:rPr>
      </w:pPr>
      <w:proofErr w:type="spellStart"/>
      <w:r>
        <w:rPr>
          <w:rFonts w:asciiTheme="majorHAnsi" w:hAnsiTheme="majorHAnsi"/>
        </w:rPr>
        <w:t>TongaHealth</w:t>
      </w:r>
      <w:proofErr w:type="spellEnd"/>
      <w:r>
        <w:rPr>
          <w:rFonts w:asciiTheme="majorHAnsi" w:hAnsiTheme="majorHAnsi"/>
        </w:rPr>
        <w:t xml:space="preserve"> proposes to </w:t>
      </w:r>
      <w:r w:rsidR="009E309E">
        <w:rPr>
          <w:rFonts w:asciiTheme="majorHAnsi" w:hAnsiTheme="majorHAnsi"/>
        </w:rPr>
        <w:t xml:space="preserve">build on </w:t>
      </w:r>
      <w:r>
        <w:rPr>
          <w:rFonts w:asciiTheme="majorHAnsi" w:hAnsiTheme="majorHAnsi"/>
        </w:rPr>
        <w:t xml:space="preserve">work plans </w:t>
      </w:r>
      <w:r w:rsidR="009E309E">
        <w:rPr>
          <w:rFonts w:asciiTheme="majorHAnsi" w:hAnsiTheme="majorHAnsi"/>
        </w:rPr>
        <w:t xml:space="preserve">developed </w:t>
      </w:r>
      <w:r>
        <w:rPr>
          <w:rFonts w:asciiTheme="majorHAnsi" w:hAnsiTheme="majorHAnsi"/>
        </w:rPr>
        <w:t xml:space="preserve">with partners </w:t>
      </w:r>
      <w:r w:rsidR="009E309E">
        <w:rPr>
          <w:rFonts w:asciiTheme="majorHAnsi" w:hAnsiTheme="majorHAnsi"/>
        </w:rPr>
        <w:t xml:space="preserve">for </w:t>
      </w:r>
      <w:r w:rsidR="00867EFA">
        <w:rPr>
          <w:rFonts w:asciiTheme="majorHAnsi" w:hAnsiTheme="majorHAnsi"/>
        </w:rPr>
        <w:t xml:space="preserve">16 months beginning in March </w:t>
      </w:r>
      <w:r w:rsidR="009E309E">
        <w:rPr>
          <w:rFonts w:asciiTheme="majorHAnsi" w:hAnsiTheme="majorHAnsi"/>
        </w:rPr>
        <w:t>201</w:t>
      </w:r>
      <w:r w:rsidR="00103899">
        <w:rPr>
          <w:rFonts w:asciiTheme="majorHAnsi" w:hAnsiTheme="majorHAnsi"/>
        </w:rPr>
        <w:t>6</w:t>
      </w:r>
      <w:r w:rsidR="00867EFA">
        <w:rPr>
          <w:rFonts w:asciiTheme="majorHAnsi" w:hAnsiTheme="majorHAnsi"/>
        </w:rPr>
        <w:t>, until June 201</w:t>
      </w:r>
      <w:r w:rsidR="00103899">
        <w:rPr>
          <w:rFonts w:asciiTheme="majorHAnsi" w:hAnsiTheme="majorHAnsi"/>
        </w:rPr>
        <w:t>7</w:t>
      </w:r>
      <w:r>
        <w:rPr>
          <w:rFonts w:asciiTheme="majorHAnsi" w:hAnsiTheme="majorHAnsi"/>
        </w:rPr>
        <w:t>.</w:t>
      </w:r>
    </w:p>
    <w:p w:rsidR="00CF7080" w:rsidRDefault="00CF7080" w:rsidP="00BC0818">
      <w:pPr>
        <w:spacing w:before="60" w:after="60"/>
        <w:ind w:left="0" w:firstLine="0"/>
        <w:rPr>
          <w:rFonts w:asciiTheme="majorHAnsi" w:hAnsiTheme="majorHAnsi"/>
        </w:rPr>
      </w:pPr>
    </w:p>
    <w:p w:rsidR="00747E44" w:rsidRDefault="006D4FC1" w:rsidP="00BC0818">
      <w:pPr>
        <w:spacing w:before="60" w:after="60"/>
        <w:ind w:left="0" w:firstLine="0"/>
        <w:rPr>
          <w:rFonts w:asciiTheme="majorHAnsi" w:hAnsiTheme="majorHAnsi"/>
        </w:rPr>
      </w:pPr>
      <w:r>
        <w:rPr>
          <w:rFonts w:asciiTheme="majorHAnsi" w:hAnsiTheme="majorHAnsi"/>
        </w:rPr>
        <w:t xml:space="preserve">Funding for the operations of </w:t>
      </w:r>
      <w:proofErr w:type="spellStart"/>
      <w:r>
        <w:rPr>
          <w:rFonts w:asciiTheme="majorHAnsi" w:hAnsiTheme="majorHAnsi"/>
        </w:rPr>
        <w:t>TongaHealth</w:t>
      </w:r>
      <w:proofErr w:type="spellEnd"/>
      <w:r>
        <w:rPr>
          <w:rFonts w:asciiTheme="majorHAnsi" w:hAnsiTheme="majorHAnsi"/>
        </w:rPr>
        <w:t xml:space="preserve"> and the implementation of the National NCDs Strategy 2015-2020 will be provided by the Tonga Government</w:t>
      </w:r>
      <w:r w:rsidR="006023D1">
        <w:rPr>
          <w:rFonts w:asciiTheme="majorHAnsi" w:hAnsiTheme="majorHAnsi"/>
        </w:rPr>
        <w:t xml:space="preserve"> in its Annual Budget allocation to </w:t>
      </w:r>
      <w:proofErr w:type="spellStart"/>
      <w:r w:rsidR="006023D1">
        <w:rPr>
          <w:rFonts w:asciiTheme="majorHAnsi" w:hAnsiTheme="majorHAnsi"/>
        </w:rPr>
        <w:t>TongaHe</w:t>
      </w:r>
      <w:r w:rsidR="009E309E">
        <w:rPr>
          <w:rFonts w:asciiTheme="majorHAnsi" w:hAnsiTheme="majorHAnsi"/>
        </w:rPr>
        <w:t>a</w:t>
      </w:r>
      <w:r w:rsidR="006023D1">
        <w:rPr>
          <w:rFonts w:asciiTheme="majorHAnsi" w:hAnsiTheme="majorHAnsi"/>
        </w:rPr>
        <w:t>lth</w:t>
      </w:r>
      <w:proofErr w:type="spellEnd"/>
      <w:r w:rsidR="006023D1">
        <w:rPr>
          <w:rFonts w:asciiTheme="majorHAnsi" w:hAnsiTheme="majorHAnsi"/>
        </w:rPr>
        <w:t xml:space="preserve">. </w:t>
      </w:r>
      <w:r w:rsidR="00867EFA">
        <w:rPr>
          <w:rFonts w:asciiTheme="majorHAnsi" w:hAnsiTheme="majorHAnsi"/>
        </w:rPr>
        <w:t xml:space="preserve">It is proposed that the Tonga Government will provide $500,000 in its recurrent budget to </w:t>
      </w:r>
      <w:proofErr w:type="spellStart"/>
      <w:r w:rsidR="00867EFA">
        <w:rPr>
          <w:rFonts w:asciiTheme="majorHAnsi" w:hAnsiTheme="majorHAnsi"/>
        </w:rPr>
        <w:t>TongaHealth</w:t>
      </w:r>
      <w:proofErr w:type="spellEnd"/>
      <w:r w:rsidR="00867EFA">
        <w:rPr>
          <w:rFonts w:asciiTheme="majorHAnsi" w:hAnsiTheme="majorHAnsi"/>
        </w:rPr>
        <w:t xml:space="preserve"> for operational costs, monitoring and evaluation and grants. </w:t>
      </w:r>
      <w:r w:rsidR="006023D1">
        <w:rPr>
          <w:rFonts w:asciiTheme="majorHAnsi" w:hAnsiTheme="majorHAnsi"/>
        </w:rPr>
        <w:t>T</w:t>
      </w:r>
      <w:r w:rsidR="00FC4A6E">
        <w:rPr>
          <w:rFonts w:asciiTheme="majorHAnsi" w:hAnsiTheme="majorHAnsi"/>
        </w:rPr>
        <w:t>he</w:t>
      </w:r>
      <w:r w:rsidR="00EF4C7B">
        <w:rPr>
          <w:rFonts w:asciiTheme="majorHAnsi" w:hAnsiTheme="majorHAnsi"/>
        </w:rPr>
        <w:t xml:space="preserve"> Australian </w:t>
      </w:r>
      <w:r w:rsidR="00FC4A6E">
        <w:rPr>
          <w:rFonts w:asciiTheme="majorHAnsi" w:hAnsiTheme="majorHAnsi"/>
        </w:rPr>
        <w:t>Government via</w:t>
      </w:r>
      <w:r w:rsidR="00CF7080">
        <w:rPr>
          <w:rFonts w:asciiTheme="majorHAnsi" w:hAnsiTheme="majorHAnsi"/>
        </w:rPr>
        <w:t xml:space="preserve"> DFAT </w:t>
      </w:r>
      <w:r w:rsidR="009E309E">
        <w:rPr>
          <w:rFonts w:asciiTheme="majorHAnsi" w:hAnsiTheme="majorHAnsi"/>
        </w:rPr>
        <w:t>is providing</w:t>
      </w:r>
      <w:r w:rsidR="00EF4C7B">
        <w:rPr>
          <w:rFonts w:asciiTheme="majorHAnsi" w:hAnsiTheme="majorHAnsi"/>
        </w:rPr>
        <w:t xml:space="preserve"> </w:t>
      </w:r>
      <w:r w:rsidR="00FC4A6E">
        <w:rPr>
          <w:rFonts w:asciiTheme="majorHAnsi" w:hAnsiTheme="majorHAnsi"/>
        </w:rPr>
        <w:t xml:space="preserve">in </w:t>
      </w:r>
      <w:r w:rsidR="00F74556">
        <w:rPr>
          <w:rFonts w:asciiTheme="majorHAnsi" w:hAnsiTheme="majorHAnsi"/>
        </w:rPr>
        <w:t>FY 201</w:t>
      </w:r>
      <w:r w:rsidR="009E309E">
        <w:rPr>
          <w:rFonts w:asciiTheme="majorHAnsi" w:hAnsiTheme="majorHAnsi"/>
        </w:rPr>
        <w:t>6</w:t>
      </w:r>
      <w:r w:rsidR="00F74556">
        <w:rPr>
          <w:rFonts w:asciiTheme="majorHAnsi" w:hAnsiTheme="majorHAnsi"/>
        </w:rPr>
        <w:t>-</w:t>
      </w:r>
      <w:r w:rsidR="00EF4C7B">
        <w:rPr>
          <w:rFonts w:asciiTheme="majorHAnsi" w:hAnsiTheme="majorHAnsi"/>
        </w:rPr>
        <w:t>1</w:t>
      </w:r>
      <w:r w:rsidR="009E309E">
        <w:rPr>
          <w:rFonts w:asciiTheme="majorHAnsi" w:hAnsiTheme="majorHAnsi"/>
        </w:rPr>
        <w:t>7</w:t>
      </w:r>
      <w:r w:rsidR="00EF4C7B">
        <w:rPr>
          <w:rFonts w:asciiTheme="majorHAnsi" w:hAnsiTheme="majorHAnsi"/>
        </w:rPr>
        <w:t xml:space="preserve"> </w:t>
      </w:r>
      <w:r w:rsidR="001C1ED8">
        <w:rPr>
          <w:rFonts w:asciiTheme="majorHAnsi" w:hAnsiTheme="majorHAnsi"/>
        </w:rPr>
        <w:t xml:space="preserve">implementation funding </w:t>
      </w:r>
      <w:r w:rsidR="00C06E2F">
        <w:rPr>
          <w:rFonts w:asciiTheme="majorHAnsi" w:hAnsiTheme="majorHAnsi"/>
        </w:rPr>
        <w:t>of AUD$</w:t>
      </w:r>
      <w:r w:rsidR="009E309E">
        <w:rPr>
          <w:rFonts w:asciiTheme="majorHAnsi" w:hAnsiTheme="majorHAnsi"/>
        </w:rPr>
        <w:t>4</w:t>
      </w:r>
      <w:r w:rsidR="00C06E2F">
        <w:rPr>
          <w:rFonts w:asciiTheme="majorHAnsi" w:hAnsiTheme="majorHAnsi"/>
        </w:rPr>
        <w:t>00,000</w:t>
      </w:r>
      <w:r w:rsidR="006023D1">
        <w:rPr>
          <w:rFonts w:asciiTheme="majorHAnsi" w:hAnsiTheme="majorHAnsi"/>
        </w:rPr>
        <w:t xml:space="preserve">, which </w:t>
      </w:r>
      <w:proofErr w:type="spellStart"/>
      <w:r w:rsidR="006023D1">
        <w:rPr>
          <w:rFonts w:asciiTheme="majorHAnsi" w:hAnsiTheme="majorHAnsi"/>
        </w:rPr>
        <w:t>TongaHealth</w:t>
      </w:r>
      <w:proofErr w:type="spellEnd"/>
      <w:r w:rsidR="006023D1">
        <w:rPr>
          <w:rFonts w:asciiTheme="majorHAnsi" w:hAnsiTheme="majorHAnsi"/>
        </w:rPr>
        <w:t xml:space="preserve"> is grateful for</w:t>
      </w:r>
      <w:r w:rsidR="00C06E2F">
        <w:rPr>
          <w:rFonts w:asciiTheme="majorHAnsi" w:hAnsiTheme="majorHAnsi"/>
        </w:rPr>
        <w:t xml:space="preserve">.  This funding is </w:t>
      </w:r>
      <w:r w:rsidR="001C1ED8">
        <w:rPr>
          <w:rFonts w:asciiTheme="majorHAnsi" w:hAnsiTheme="majorHAnsi"/>
        </w:rPr>
        <w:t xml:space="preserve">for delivery of </w:t>
      </w:r>
      <w:r w:rsidR="00C06E2F">
        <w:rPr>
          <w:rFonts w:asciiTheme="majorHAnsi" w:hAnsiTheme="majorHAnsi"/>
        </w:rPr>
        <w:t xml:space="preserve">activities against the National </w:t>
      </w:r>
      <w:r w:rsidR="00EF4C7B">
        <w:rPr>
          <w:rFonts w:asciiTheme="majorHAnsi" w:hAnsiTheme="majorHAnsi"/>
        </w:rPr>
        <w:t>NCD</w:t>
      </w:r>
      <w:r w:rsidR="00F74556">
        <w:rPr>
          <w:rFonts w:asciiTheme="majorHAnsi" w:hAnsiTheme="majorHAnsi"/>
        </w:rPr>
        <w:t>s</w:t>
      </w:r>
      <w:r w:rsidR="00EF4C7B">
        <w:rPr>
          <w:rFonts w:asciiTheme="majorHAnsi" w:hAnsiTheme="majorHAnsi"/>
        </w:rPr>
        <w:t xml:space="preserve"> Strategy</w:t>
      </w:r>
      <w:r w:rsidR="00C06E2F">
        <w:rPr>
          <w:rFonts w:asciiTheme="majorHAnsi" w:hAnsiTheme="majorHAnsi"/>
        </w:rPr>
        <w:t xml:space="preserve"> 2015-2020, </w:t>
      </w:r>
      <w:r w:rsidR="00EF4C7B">
        <w:rPr>
          <w:rFonts w:asciiTheme="majorHAnsi" w:hAnsiTheme="majorHAnsi"/>
        </w:rPr>
        <w:t xml:space="preserve">which </w:t>
      </w:r>
      <w:r w:rsidR="00BD1421">
        <w:rPr>
          <w:rFonts w:asciiTheme="majorHAnsi" w:hAnsiTheme="majorHAnsi"/>
        </w:rPr>
        <w:t>w</w:t>
      </w:r>
      <w:r w:rsidR="009E309E">
        <w:rPr>
          <w:rFonts w:asciiTheme="majorHAnsi" w:hAnsiTheme="majorHAnsi"/>
        </w:rPr>
        <w:t xml:space="preserve">ill be disbursed to partners </w:t>
      </w:r>
      <w:r w:rsidR="00BD1421">
        <w:rPr>
          <w:rFonts w:asciiTheme="majorHAnsi" w:hAnsiTheme="majorHAnsi"/>
        </w:rPr>
        <w:t xml:space="preserve">against the agreed work plans.  </w:t>
      </w:r>
      <w:proofErr w:type="spellStart"/>
      <w:r w:rsidR="00BD1421">
        <w:rPr>
          <w:rFonts w:asciiTheme="majorHAnsi" w:hAnsiTheme="majorHAnsi"/>
        </w:rPr>
        <w:t>TongaHealth</w:t>
      </w:r>
      <w:proofErr w:type="spellEnd"/>
      <w:r w:rsidR="00BD1421">
        <w:rPr>
          <w:rFonts w:asciiTheme="majorHAnsi" w:hAnsiTheme="majorHAnsi"/>
        </w:rPr>
        <w:t xml:space="preserve"> will assess the performance of partners to confirm the allocation of funds for</w:t>
      </w:r>
      <w:r w:rsidR="00F74556">
        <w:rPr>
          <w:rFonts w:asciiTheme="majorHAnsi" w:hAnsiTheme="majorHAnsi"/>
        </w:rPr>
        <w:t xml:space="preserve"> FY 2016-</w:t>
      </w:r>
      <w:r w:rsidR="00BD1421">
        <w:rPr>
          <w:rFonts w:asciiTheme="majorHAnsi" w:hAnsiTheme="majorHAnsi"/>
        </w:rPr>
        <w:t>17.</w:t>
      </w:r>
      <w:r w:rsidR="00C900B9">
        <w:rPr>
          <w:rFonts w:asciiTheme="majorHAnsi" w:hAnsiTheme="majorHAnsi"/>
        </w:rPr>
        <w:t xml:space="preserve"> Funding for senior positions of Finance Manager and Monitoring &amp; Evaluation Manager will be provided from the DFAT implementation funds.</w:t>
      </w:r>
    </w:p>
    <w:p w:rsidR="00BD1421" w:rsidRPr="00747E44" w:rsidRDefault="00BD1421" w:rsidP="00747E44">
      <w:pPr>
        <w:spacing w:before="60" w:after="60"/>
        <w:ind w:left="0" w:firstLine="0"/>
        <w:rPr>
          <w:rFonts w:asciiTheme="majorHAnsi" w:hAnsiTheme="majorHAnsi"/>
        </w:rPr>
      </w:pPr>
      <w:r>
        <w:rPr>
          <w:rFonts w:asciiTheme="majorHAnsi" w:hAnsiTheme="majorHAnsi"/>
        </w:rPr>
        <w:lastRenderedPageBreak/>
        <w:t xml:space="preserve">In accordance with the </w:t>
      </w:r>
      <w:r w:rsidR="001C1ED8">
        <w:rPr>
          <w:rFonts w:asciiTheme="majorHAnsi" w:hAnsiTheme="majorHAnsi"/>
        </w:rPr>
        <w:t>Australian Government Agreement</w:t>
      </w:r>
      <w:r>
        <w:rPr>
          <w:rFonts w:asciiTheme="majorHAnsi" w:hAnsiTheme="majorHAnsi"/>
        </w:rPr>
        <w:t xml:space="preserve">, </w:t>
      </w:r>
      <w:proofErr w:type="spellStart"/>
      <w:r>
        <w:rPr>
          <w:rFonts w:asciiTheme="majorHAnsi" w:hAnsiTheme="majorHAnsi"/>
        </w:rPr>
        <w:t>TongaHealth</w:t>
      </w:r>
      <w:proofErr w:type="spellEnd"/>
      <w:r>
        <w:rPr>
          <w:rFonts w:asciiTheme="majorHAnsi" w:hAnsiTheme="majorHAnsi"/>
        </w:rPr>
        <w:t xml:space="preserve"> will need to have disbursed to pa</w:t>
      </w:r>
      <w:r w:rsidR="006F2E5F">
        <w:rPr>
          <w:rFonts w:asciiTheme="majorHAnsi" w:hAnsiTheme="majorHAnsi"/>
        </w:rPr>
        <w:t>rtners at least 70% of the AUD$5</w:t>
      </w:r>
      <w:r>
        <w:rPr>
          <w:rFonts w:asciiTheme="majorHAnsi" w:hAnsiTheme="majorHAnsi"/>
        </w:rPr>
        <w:t xml:space="preserve">00,000 by 30 </w:t>
      </w:r>
      <w:r w:rsidR="007722D7">
        <w:rPr>
          <w:rFonts w:asciiTheme="majorHAnsi" w:hAnsiTheme="majorHAnsi"/>
        </w:rPr>
        <w:t xml:space="preserve">September </w:t>
      </w:r>
      <w:r>
        <w:rPr>
          <w:rFonts w:asciiTheme="majorHAnsi" w:hAnsiTheme="majorHAnsi"/>
        </w:rPr>
        <w:t xml:space="preserve">2016 in order to seek funding from the Australian Government for FY </w:t>
      </w:r>
      <w:r w:rsidR="001C1ED8">
        <w:rPr>
          <w:rFonts w:asciiTheme="majorHAnsi" w:hAnsiTheme="majorHAnsi"/>
        </w:rPr>
        <w:t>2016-</w:t>
      </w:r>
      <w:r>
        <w:rPr>
          <w:rFonts w:asciiTheme="majorHAnsi" w:hAnsiTheme="majorHAnsi"/>
        </w:rPr>
        <w:t>17.</w:t>
      </w:r>
    </w:p>
    <w:p w:rsidR="00C515EF" w:rsidRDefault="00CE04BA" w:rsidP="00BD1421">
      <w:pPr>
        <w:spacing w:before="200" w:after="200"/>
        <w:ind w:left="0" w:firstLine="0"/>
        <w:rPr>
          <w:rFonts w:asciiTheme="majorHAnsi" w:hAnsiTheme="majorHAnsi"/>
          <w:b/>
        </w:rPr>
      </w:pPr>
      <w:r>
        <w:rPr>
          <w:rFonts w:asciiTheme="majorHAnsi" w:hAnsiTheme="majorHAnsi"/>
          <w:b/>
        </w:rPr>
        <w:t>5</w:t>
      </w:r>
      <w:r w:rsidR="00BD1421">
        <w:rPr>
          <w:rFonts w:asciiTheme="majorHAnsi" w:hAnsiTheme="majorHAnsi"/>
          <w:b/>
        </w:rPr>
        <w:t>. Timelines</w:t>
      </w:r>
    </w:p>
    <w:p w:rsidR="00BC0818" w:rsidRDefault="00BC0818" w:rsidP="00BC0818">
      <w:pPr>
        <w:spacing w:before="60" w:after="60"/>
        <w:ind w:left="0" w:firstLine="0"/>
        <w:rPr>
          <w:rFonts w:asciiTheme="majorHAnsi" w:hAnsiTheme="majorHAnsi"/>
        </w:rPr>
      </w:pPr>
      <w:r>
        <w:rPr>
          <w:rFonts w:asciiTheme="majorHAnsi" w:hAnsiTheme="majorHAnsi"/>
        </w:rPr>
        <w:t xml:space="preserve">Table 1 below outlines the proposed timelines for </w:t>
      </w:r>
      <w:proofErr w:type="spellStart"/>
      <w:r>
        <w:rPr>
          <w:rFonts w:asciiTheme="majorHAnsi" w:hAnsiTheme="majorHAnsi"/>
        </w:rPr>
        <w:t>TongaHealth’s</w:t>
      </w:r>
      <w:proofErr w:type="spellEnd"/>
      <w:r>
        <w:rPr>
          <w:rFonts w:asciiTheme="majorHAnsi" w:hAnsiTheme="majorHAnsi"/>
        </w:rPr>
        <w:t xml:space="preserve"> work pl</w:t>
      </w:r>
      <w:r w:rsidR="00C06E2F">
        <w:rPr>
          <w:rFonts w:asciiTheme="majorHAnsi" w:hAnsiTheme="majorHAnsi"/>
        </w:rPr>
        <w:t>an for FY 201</w:t>
      </w:r>
      <w:r w:rsidR="009E309E">
        <w:rPr>
          <w:rFonts w:asciiTheme="majorHAnsi" w:hAnsiTheme="majorHAnsi"/>
        </w:rPr>
        <w:t>6</w:t>
      </w:r>
      <w:r w:rsidR="00C06E2F">
        <w:rPr>
          <w:rFonts w:asciiTheme="majorHAnsi" w:hAnsiTheme="majorHAnsi"/>
        </w:rPr>
        <w:t>-1</w:t>
      </w:r>
      <w:r w:rsidR="009E309E">
        <w:rPr>
          <w:rFonts w:asciiTheme="majorHAnsi" w:hAnsiTheme="majorHAnsi"/>
        </w:rPr>
        <w:t>7</w:t>
      </w:r>
      <w:r w:rsidR="00C06E2F">
        <w:rPr>
          <w:rFonts w:asciiTheme="majorHAnsi" w:hAnsiTheme="majorHAnsi"/>
        </w:rPr>
        <w:t>.</w:t>
      </w:r>
    </w:p>
    <w:p w:rsidR="005B1C00" w:rsidRDefault="005B1C00" w:rsidP="00BC0818">
      <w:pPr>
        <w:spacing w:before="60" w:after="60"/>
        <w:ind w:left="0" w:firstLine="0"/>
        <w:rPr>
          <w:rFonts w:asciiTheme="majorHAnsi" w:hAnsiTheme="majorHAnsi"/>
        </w:rPr>
      </w:pPr>
    </w:p>
    <w:p w:rsidR="005B1C00" w:rsidRDefault="005B1C00" w:rsidP="00BC0818">
      <w:pPr>
        <w:spacing w:before="60" w:after="60"/>
        <w:ind w:left="0" w:firstLine="0"/>
        <w:rPr>
          <w:rFonts w:asciiTheme="majorHAnsi" w:hAnsiTheme="majorHAnsi"/>
        </w:rPr>
      </w:pPr>
      <w:r w:rsidRPr="005B1C00">
        <w:rPr>
          <w:rFonts w:asciiTheme="majorHAnsi" w:hAnsiTheme="majorHAnsi"/>
          <w:b/>
        </w:rPr>
        <w:t>6.  Approval process</w:t>
      </w:r>
      <w:r w:rsidR="00373053">
        <w:rPr>
          <w:rFonts w:asciiTheme="majorHAnsi" w:hAnsiTheme="majorHAnsi"/>
          <w:b/>
        </w:rPr>
        <w:t>es</w:t>
      </w:r>
    </w:p>
    <w:p w:rsidR="005B1C00" w:rsidRPr="005B1C00" w:rsidRDefault="005B1C00" w:rsidP="00BC0818">
      <w:pPr>
        <w:spacing w:before="60" w:after="60"/>
        <w:ind w:left="0" w:firstLine="0"/>
        <w:rPr>
          <w:rFonts w:asciiTheme="majorHAnsi" w:hAnsiTheme="majorHAnsi"/>
        </w:rPr>
      </w:pPr>
      <w:r>
        <w:rPr>
          <w:rFonts w:asciiTheme="majorHAnsi" w:hAnsiTheme="majorHAnsi"/>
        </w:rPr>
        <w:t xml:space="preserve">The Annual Plan has to be recommended by the Advisory Committees to the </w:t>
      </w:r>
      <w:proofErr w:type="spellStart"/>
      <w:r>
        <w:rPr>
          <w:rFonts w:asciiTheme="majorHAnsi" w:hAnsiTheme="majorHAnsi"/>
        </w:rPr>
        <w:t>TongaHealth</w:t>
      </w:r>
      <w:proofErr w:type="spellEnd"/>
      <w:r>
        <w:rPr>
          <w:rFonts w:asciiTheme="majorHAnsi" w:hAnsiTheme="majorHAnsi"/>
        </w:rPr>
        <w:t xml:space="preserve"> Board for approval before it is submitted to the National NCD Committee for final approval.</w:t>
      </w:r>
      <w:r w:rsidR="00373053">
        <w:rPr>
          <w:rFonts w:asciiTheme="majorHAnsi" w:hAnsiTheme="majorHAnsi"/>
        </w:rPr>
        <w:t xml:space="preserve"> The Annual Budget and global allocation of funds to priority areas is recommended by the Advisory Committees for approval and recommendation by the </w:t>
      </w:r>
      <w:proofErr w:type="spellStart"/>
      <w:r w:rsidR="00373053">
        <w:rPr>
          <w:rFonts w:asciiTheme="majorHAnsi" w:hAnsiTheme="majorHAnsi"/>
        </w:rPr>
        <w:t>TongaHealth</w:t>
      </w:r>
      <w:proofErr w:type="spellEnd"/>
      <w:r w:rsidR="00373053">
        <w:rPr>
          <w:rFonts w:asciiTheme="majorHAnsi" w:hAnsiTheme="majorHAnsi"/>
        </w:rPr>
        <w:t xml:space="preserve"> Board to the National NCD Committee for final approval. Grants will be recommended by the Advisory Committees to the </w:t>
      </w:r>
      <w:proofErr w:type="spellStart"/>
      <w:r w:rsidR="00373053">
        <w:rPr>
          <w:rFonts w:asciiTheme="majorHAnsi" w:hAnsiTheme="majorHAnsi"/>
        </w:rPr>
        <w:t>TongaHealth</w:t>
      </w:r>
      <w:proofErr w:type="spellEnd"/>
      <w:r w:rsidR="00373053">
        <w:rPr>
          <w:rFonts w:asciiTheme="majorHAnsi" w:hAnsiTheme="majorHAnsi"/>
        </w:rPr>
        <w:t xml:space="preserve"> Board for approval and recommendation to the National NCD Committee for final approval. Grants of more than or equal to TOP 100,000 will require the approval of the National NCD Committee. Grants less than TOP 100,000 will require the approval of the </w:t>
      </w:r>
      <w:proofErr w:type="spellStart"/>
      <w:r w:rsidR="00373053">
        <w:rPr>
          <w:rFonts w:asciiTheme="majorHAnsi" w:hAnsiTheme="majorHAnsi"/>
        </w:rPr>
        <w:t>TongaHealth</w:t>
      </w:r>
      <w:proofErr w:type="spellEnd"/>
      <w:r w:rsidR="00373053">
        <w:rPr>
          <w:rFonts w:asciiTheme="majorHAnsi" w:hAnsiTheme="majorHAnsi"/>
        </w:rPr>
        <w:t xml:space="preserve"> Board.</w:t>
      </w:r>
      <w:r w:rsidR="00EF5B7F">
        <w:rPr>
          <w:rFonts w:asciiTheme="majorHAnsi" w:hAnsiTheme="majorHAnsi"/>
        </w:rPr>
        <w:t xml:space="preserve"> Grants will be recommended by the Advisory Committees and the CEO of </w:t>
      </w:r>
      <w:proofErr w:type="spellStart"/>
      <w:r w:rsidR="00EF5B7F">
        <w:rPr>
          <w:rFonts w:asciiTheme="majorHAnsi" w:hAnsiTheme="majorHAnsi"/>
        </w:rPr>
        <w:t>TongaHealth</w:t>
      </w:r>
      <w:proofErr w:type="spellEnd"/>
      <w:r w:rsidR="00EF5B7F">
        <w:rPr>
          <w:rFonts w:asciiTheme="majorHAnsi" w:hAnsiTheme="majorHAnsi"/>
        </w:rPr>
        <w:t xml:space="preserve"> for approval.</w:t>
      </w:r>
    </w:p>
    <w:p w:rsidR="002B0D6E" w:rsidRDefault="002B0D6E" w:rsidP="005B1C00">
      <w:pPr>
        <w:jc w:val="both"/>
        <w:rPr>
          <w:rFonts w:asciiTheme="majorHAnsi" w:hAnsiTheme="majorHAnsi"/>
        </w:rPr>
      </w:pPr>
      <w:r>
        <w:rPr>
          <w:rFonts w:asciiTheme="majorHAnsi" w:hAnsiTheme="majorHAnsi"/>
        </w:rPr>
        <w:br w:type="page"/>
      </w:r>
    </w:p>
    <w:p w:rsidR="002473F0" w:rsidRPr="00BC0818" w:rsidRDefault="002473F0" w:rsidP="00941C1B">
      <w:pPr>
        <w:spacing w:before="60" w:after="60"/>
        <w:ind w:left="0" w:firstLine="0"/>
        <w:rPr>
          <w:rFonts w:asciiTheme="majorHAnsi" w:hAnsiTheme="majorHAnsi"/>
        </w:rPr>
      </w:pPr>
      <w:r>
        <w:rPr>
          <w:rFonts w:asciiTheme="majorHAnsi" w:hAnsiTheme="majorHAnsi"/>
        </w:rPr>
        <w:lastRenderedPageBreak/>
        <w:t xml:space="preserve">Table 1:  Proposed </w:t>
      </w:r>
      <w:proofErr w:type="spellStart"/>
      <w:r>
        <w:rPr>
          <w:rFonts w:asciiTheme="majorHAnsi" w:hAnsiTheme="majorHAnsi"/>
        </w:rPr>
        <w:t>TongaHealth</w:t>
      </w:r>
      <w:proofErr w:type="spellEnd"/>
      <w:r>
        <w:rPr>
          <w:rFonts w:asciiTheme="majorHAnsi" w:hAnsiTheme="majorHAnsi"/>
        </w:rPr>
        <w:t xml:space="preserve"> work plan timelines</w:t>
      </w:r>
      <w:r w:rsidR="00C06E2F">
        <w:rPr>
          <w:rFonts w:asciiTheme="majorHAnsi" w:hAnsiTheme="majorHAnsi"/>
        </w:rPr>
        <w:t xml:space="preserve"> FY 201</w:t>
      </w:r>
      <w:r w:rsidR="00D54EC7">
        <w:rPr>
          <w:rFonts w:asciiTheme="majorHAnsi" w:hAnsiTheme="majorHAnsi"/>
        </w:rPr>
        <w:t>6</w:t>
      </w:r>
      <w:r w:rsidR="005B363D">
        <w:rPr>
          <w:rFonts w:asciiTheme="majorHAnsi" w:hAnsiTheme="majorHAnsi"/>
        </w:rPr>
        <w:t>-17</w:t>
      </w:r>
    </w:p>
    <w:tbl>
      <w:tblPr>
        <w:tblStyle w:val="TableGrid"/>
        <w:tblW w:w="0" w:type="auto"/>
        <w:tblBorders>
          <w:top w:val="single" w:sz="4" w:space="0" w:color="008000"/>
          <w:left w:val="none" w:sz="0" w:space="0" w:color="auto"/>
          <w:bottom w:val="single" w:sz="4" w:space="0" w:color="008000"/>
          <w:right w:val="none" w:sz="0" w:space="0" w:color="auto"/>
          <w:insideH w:val="single" w:sz="4" w:space="0" w:color="008000"/>
          <w:insideV w:val="none" w:sz="0" w:space="0" w:color="auto"/>
        </w:tblBorders>
        <w:tblLook w:val="04A0" w:firstRow="1" w:lastRow="0" w:firstColumn="1" w:lastColumn="0" w:noHBand="0" w:noVBand="1"/>
      </w:tblPr>
      <w:tblGrid>
        <w:gridCol w:w="4705"/>
        <w:gridCol w:w="2454"/>
        <w:gridCol w:w="2084"/>
      </w:tblGrid>
      <w:tr w:rsidR="002B3EBE" w:rsidTr="002B3EBE">
        <w:trPr>
          <w:cantSplit/>
          <w:tblHeader/>
        </w:trPr>
        <w:tc>
          <w:tcPr>
            <w:tcW w:w="4705" w:type="dxa"/>
            <w:tcBorders>
              <w:right w:val="single" w:sz="4" w:space="0" w:color="008000"/>
            </w:tcBorders>
            <w:shd w:val="clear" w:color="auto" w:fill="008000"/>
          </w:tcPr>
          <w:p w:rsidR="002B3EBE" w:rsidRPr="00BC0818" w:rsidRDefault="002B3EBE" w:rsidP="00BD3B2C">
            <w:pPr>
              <w:spacing w:before="60" w:after="60"/>
              <w:ind w:left="0" w:firstLine="0"/>
              <w:rPr>
                <w:rFonts w:asciiTheme="majorHAnsi" w:hAnsiTheme="majorHAnsi"/>
                <w:b/>
                <w:color w:val="CCFFCC"/>
                <w:sz w:val="20"/>
                <w:szCs w:val="20"/>
              </w:rPr>
            </w:pPr>
            <w:r>
              <w:rPr>
                <w:rFonts w:asciiTheme="majorHAnsi" w:hAnsiTheme="majorHAnsi"/>
                <w:b/>
                <w:color w:val="CCFFCC"/>
                <w:sz w:val="20"/>
                <w:szCs w:val="20"/>
              </w:rPr>
              <w:t>Work plan activities</w:t>
            </w:r>
          </w:p>
        </w:tc>
        <w:tc>
          <w:tcPr>
            <w:tcW w:w="2454" w:type="dxa"/>
            <w:tcBorders>
              <w:left w:val="single" w:sz="4" w:space="0" w:color="008000"/>
            </w:tcBorders>
            <w:shd w:val="clear" w:color="auto" w:fill="008000"/>
          </w:tcPr>
          <w:p w:rsidR="002B3EBE" w:rsidRPr="00BC0818" w:rsidRDefault="002B3EBE" w:rsidP="00BD3B2C">
            <w:pPr>
              <w:spacing w:before="60" w:after="60"/>
              <w:ind w:left="0" w:firstLine="0"/>
              <w:rPr>
                <w:rFonts w:asciiTheme="majorHAnsi" w:hAnsiTheme="majorHAnsi"/>
                <w:b/>
                <w:color w:val="CCFFCC"/>
                <w:sz w:val="20"/>
                <w:szCs w:val="20"/>
              </w:rPr>
            </w:pPr>
            <w:r>
              <w:rPr>
                <w:rFonts w:asciiTheme="majorHAnsi" w:hAnsiTheme="majorHAnsi"/>
                <w:b/>
                <w:color w:val="CCFFCC"/>
                <w:sz w:val="20"/>
                <w:szCs w:val="20"/>
              </w:rPr>
              <w:t>Timelines</w:t>
            </w:r>
          </w:p>
        </w:tc>
        <w:tc>
          <w:tcPr>
            <w:tcW w:w="2084" w:type="dxa"/>
            <w:tcBorders>
              <w:left w:val="single" w:sz="4" w:space="0" w:color="008000"/>
            </w:tcBorders>
            <w:shd w:val="clear" w:color="auto" w:fill="008000"/>
          </w:tcPr>
          <w:p w:rsidR="002B3EBE" w:rsidRDefault="002B3EBE" w:rsidP="00BD3B2C">
            <w:pPr>
              <w:spacing w:before="60" w:after="60"/>
              <w:ind w:left="0" w:firstLine="0"/>
              <w:rPr>
                <w:rFonts w:asciiTheme="majorHAnsi" w:hAnsiTheme="majorHAnsi"/>
                <w:b/>
                <w:color w:val="CCFFCC"/>
                <w:sz w:val="20"/>
                <w:szCs w:val="20"/>
              </w:rPr>
            </w:pPr>
            <w:r>
              <w:rPr>
                <w:rFonts w:asciiTheme="majorHAnsi" w:hAnsiTheme="majorHAnsi"/>
                <w:b/>
                <w:color w:val="CCFFCC"/>
                <w:sz w:val="20"/>
                <w:szCs w:val="20"/>
              </w:rPr>
              <w:t>Progress Notes</w:t>
            </w:r>
          </w:p>
        </w:tc>
      </w:tr>
      <w:tr w:rsidR="002B3EBE" w:rsidTr="002B3EBE">
        <w:trPr>
          <w:cantSplit/>
        </w:trPr>
        <w:tc>
          <w:tcPr>
            <w:tcW w:w="7159" w:type="dxa"/>
            <w:gridSpan w:val="2"/>
            <w:shd w:val="clear" w:color="auto" w:fill="CCFFCC"/>
          </w:tcPr>
          <w:p w:rsidR="002B3EBE" w:rsidRDefault="002B3EBE" w:rsidP="00BD3B2C">
            <w:pPr>
              <w:spacing w:before="60" w:after="60"/>
              <w:ind w:left="0" w:firstLine="0"/>
              <w:rPr>
                <w:rFonts w:asciiTheme="majorHAnsi" w:hAnsiTheme="majorHAnsi"/>
                <w:sz w:val="20"/>
                <w:szCs w:val="20"/>
              </w:rPr>
            </w:pPr>
          </w:p>
        </w:tc>
        <w:tc>
          <w:tcPr>
            <w:tcW w:w="2084" w:type="dxa"/>
            <w:shd w:val="clear" w:color="auto" w:fill="CCFFCC"/>
          </w:tcPr>
          <w:p w:rsidR="002B3EBE" w:rsidRPr="005C65D4" w:rsidRDefault="002B3EBE" w:rsidP="00BD3B2C">
            <w:pPr>
              <w:spacing w:before="60" w:after="60"/>
              <w:ind w:left="0" w:firstLine="0"/>
              <w:rPr>
                <w:rFonts w:asciiTheme="majorHAnsi" w:hAnsiTheme="majorHAnsi"/>
                <w:b/>
                <w:color w:val="008000"/>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 xml:space="preserve">Review of </w:t>
            </w:r>
            <w:proofErr w:type="spellStart"/>
            <w:r>
              <w:rPr>
                <w:rFonts w:asciiTheme="majorHAnsi" w:hAnsiTheme="majorHAnsi"/>
                <w:sz w:val="20"/>
                <w:szCs w:val="20"/>
              </w:rPr>
              <w:t>TongaHealth</w:t>
            </w:r>
            <w:proofErr w:type="spellEnd"/>
            <w:r>
              <w:rPr>
                <w:rFonts w:asciiTheme="majorHAnsi" w:hAnsiTheme="majorHAnsi"/>
                <w:sz w:val="20"/>
                <w:szCs w:val="20"/>
              </w:rPr>
              <w:t xml:space="preserve"> policies including Child Protection Policy, Fraud Policy, Financial Policy, Administration Manual and Governance Manual</w:t>
            </w:r>
          </w:p>
        </w:tc>
        <w:tc>
          <w:tcPr>
            <w:tcW w:w="2454" w:type="dxa"/>
            <w:tcBorders>
              <w:left w:val="single" w:sz="4" w:space="0" w:color="008000"/>
            </w:tcBorders>
          </w:tcPr>
          <w:p w:rsidR="002B3EBE" w:rsidRDefault="002B3EBE" w:rsidP="006F2E5F">
            <w:pPr>
              <w:spacing w:before="60" w:after="60"/>
              <w:ind w:left="0" w:firstLine="0"/>
              <w:rPr>
                <w:rFonts w:asciiTheme="majorHAnsi" w:hAnsiTheme="majorHAnsi"/>
                <w:sz w:val="20"/>
                <w:szCs w:val="20"/>
              </w:rPr>
            </w:pPr>
            <w:r>
              <w:rPr>
                <w:rFonts w:asciiTheme="majorHAnsi" w:hAnsiTheme="majorHAnsi"/>
                <w:sz w:val="20"/>
                <w:szCs w:val="20"/>
              </w:rPr>
              <w:t xml:space="preserve">Ongoing during </w:t>
            </w:r>
            <w:r w:rsidR="006F2E5F">
              <w:rPr>
                <w:rFonts w:asciiTheme="majorHAnsi" w:hAnsiTheme="majorHAnsi"/>
                <w:sz w:val="20"/>
                <w:szCs w:val="20"/>
              </w:rPr>
              <w:t>July</w:t>
            </w:r>
            <w:r>
              <w:rPr>
                <w:rFonts w:asciiTheme="majorHAnsi" w:hAnsiTheme="majorHAnsi"/>
                <w:sz w:val="20"/>
                <w:szCs w:val="20"/>
              </w:rPr>
              <w:t xml:space="preserve"> to </w:t>
            </w:r>
            <w:r w:rsidR="006F2E5F">
              <w:rPr>
                <w:rFonts w:asciiTheme="majorHAnsi" w:hAnsiTheme="majorHAnsi"/>
                <w:sz w:val="20"/>
                <w:szCs w:val="20"/>
              </w:rPr>
              <w:t>December</w:t>
            </w:r>
            <w:r>
              <w:rPr>
                <w:rFonts w:asciiTheme="majorHAnsi" w:hAnsiTheme="majorHAnsi"/>
                <w:sz w:val="20"/>
                <w:szCs w:val="20"/>
              </w:rPr>
              <w:t xml:space="preserve"> 2016</w:t>
            </w:r>
          </w:p>
        </w:tc>
        <w:tc>
          <w:tcPr>
            <w:tcW w:w="2084" w:type="dxa"/>
            <w:tcBorders>
              <w:left w:val="single" w:sz="4" w:space="0" w:color="008000"/>
            </w:tcBorders>
          </w:tcPr>
          <w:p w:rsidR="002B3EBE" w:rsidRDefault="00C77227" w:rsidP="00BD3B2C">
            <w:pPr>
              <w:spacing w:before="60" w:after="60"/>
              <w:ind w:left="0" w:firstLine="0"/>
              <w:rPr>
                <w:rFonts w:asciiTheme="majorHAnsi" w:hAnsiTheme="majorHAnsi"/>
                <w:sz w:val="20"/>
                <w:szCs w:val="20"/>
              </w:rPr>
            </w:pPr>
            <w:r>
              <w:rPr>
                <w:rFonts w:asciiTheme="majorHAnsi" w:hAnsiTheme="majorHAnsi"/>
                <w:sz w:val="20"/>
                <w:szCs w:val="20"/>
              </w:rPr>
              <w:t>CPP, Fraud, Financial policies completed</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Review M&amp;E Framework and Risk Management Framework</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March 2016</w:t>
            </w:r>
          </w:p>
        </w:tc>
        <w:tc>
          <w:tcPr>
            <w:tcW w:w="2084" w:type="dxa"/>
            <w:tcBorders>
              <w:left w:val="single" w:sz="4" w:space="0" w:color="008000"/>
            </w:tcBorders>
          </w:tcPr>
          <w:p w:rsidR="002B3EBE" w:rsidRDefault="00C77227" w:rsidP="00BD3B2C">
            <w:pPr>
              <w:spacing w:before="60" w:after="60"/>
              <w:ind w:left="0" w:firstLine="0"/>
              <w:rPr>
                <w:rFonts w:asciiTheme="majorHAnsi" w:hAnsiTheme="majorHAnsi"/>
                <w:sz w:val="20"/>
                <w:szCs w:val="20"/>
              </w:rPr>
            </w:pPr>
            <w:r>
              <w:rPr>
                <w:rFonts w:asciiTheme="majorHAnsi" w:hAnsiTheme="majorHAnsi"/>
                <w:sz w:val="20"/>
                <w:szCs w:val="20"/>
              </w:rPr>
              <w:t>Almost completed</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Finalise and implement Communications Strategy</w:t>
            </w:r>
          </w:p>
        </w:tc>
        <w:tc>
          <w:tcPr>
            <w:tcW w:w="2454" w:type="dxa"/>
            <w:tcBorders>
              <w:left w:val="single" w:sz="4" w:space="0" w:color="008000"/>
            </w:tcBorders>
          </w:tcPr>
          <w:p w:rsidR="002B3EBE" w:rsidRDefault="004E5DA0" w:rsidP="00BD3B2C">
            <w:pPr>
              <w:spacing w:before="60" w:after="60"/>
              <w:ind w:left="0" w:firstLine="0"/>
              <w:rPr>
                <w:rFonts w:asciiTheme="majorHAnsi" w:hAnsiTheme="majorHAnsi"/>
                <w:sz w:val="20"/>
                <w:szCs w:val="20"/>
              </w:rPr>
            </w:pPr>
            <w:r>
              <w:rPr>
                <w:rFonts w:asciiTheme="majorHAnsi" w:hAnsiTheme="majorHAnsi"/>
                <w:sz w:val="20"/>
                <w:szCs w:val="20"/>
              </w:rPr>
              <w:t>July</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4E5DA0" w:rsidP="00BD3B2C">
            <w:pPr>
              <w:spacing w:before="60" w:after="60"/>
              <w:ind w:left="0" w:firstLine="0"/>
              <w:rPr>
                <w:rFonts w:asciiTheme="majorHAnsi" w:hAnsiTheme="majorHAnsi"/>
                <w:sz w:val="20"/>
                <w:szCs w:val="20"/>
              </w:rPr>
            </w:pPr>
            <w:r>
              <w:rPr>
                <w:rFonts w:asciiTheme="majorHAnsi" w:hAnsiTheme="majorHAnsi"/>
                <w:sz w:val="20"/>
                <w:szCs w:val="20"/>
              </w:rPr>
              <w:t>Ongoing</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Build office premises to cater for additional staff</w:t>
            </w:r>
          </w:p>
        </w:tc>
        <w:tc>
          <w:tcPr>
            <w:tcW w:w="2454" w:type="dxa"/>
            <w:tcBorders>
              <w:left w:val="single" w:sz="4" w:space="0" w:color="008000"/>
            </w:tcBorders>
          </w:tcPr>
          <w:p w:rsidR="002B3EBE" w:rsidRDefault="004E5DA0" w:rsidP="00BD3B2C">
            <w:pPr>
              <w:spacing w:before="60" w:after="60"/>
              <w:ind w:left="0" w:firstLine="0"/>
              <w:rPr>
                <w:rFonts w:asciiTheme="majorHAnsi" w:hAnsiTheme="majorHAnsi"/>
                <w:sz w:val="20"/>
                <w:szCs w:val="20"/>
              </w:rPr>
            </w:pPr>
            <w:r>
              <w:rPr>
                <w:rFonts w:asciiTheme="majorHAnsi" w:hAnsiTheme="majorHAnsi"/>
                <w:sz w:val="20"/>
                <w:szCs w:val="20"/>
              </w:rPr>
              <w:t>September</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2E0209" w:rsidP="00BD3B2C">
            <w:pPr>
              <w:spacing w:before="60" w:after="60"/>
              <w:ind w:left="0" w:firstLine="0"/>
              <w:rPr>
                <w:rFonts w:asciiTheme="majorHAnsi" w:hAnsiTheme="majorHAnsi"/>
                <w:sz w:val="20"/>
                <w:szCs w:val="20"/>
              </w:rPr>
            </w:pPr>
            <w:r>
              <w:rPr>
                <w:rFonts w:asciiTheme="majorHAnsi" w:hAnsiTheme="majorHAnsi"/>
                <w:sz w:val="20"/>
                <w:szCs w:val="20"/>
              </w:rPr>
              <w:t>Completed by Mid-December 2016</w:t>
            </w:r>
          </w:p>
        </w:tc>
      </w:tr>
      <w:tr w:rsidR="002B3EBE" w:rsidTr="002B3EBE">
        <w:trPr>
          <w:cantSplit/>
        </w:trPr>
        <w:tc>
          <w:tcPr>
            <w:tcW w:w="4705" w:type="dxa"/>
            <w:tcBorders>
              <w:right w:val="single" w:sz="4" w:space="0" w:color="008000"/>
            </w:tcBorders>
          </w:tcPr>
          <w:p w:rsidR="002B3EBE" w:rsidRDefault="002B3EBE" w:rsidP="00851061">
            <w:pPr>
              <w:spacing w:before="60" w:after="60"/>
              <w:ind w:left="0" w:firstLine="0"/>
              <w:rPr>
                <w:rFonts w:asciiTheme="majorHAnsi" w:hAnsiTheme="majorHAnsi"/>
                <w:sz w:val="20"/>
                <w:szCs w:val="20"/>
              </w:rPr>
            </w:pPr>
            <w:r>
              <w:rPr>
                <w:rFonts w:asciiTheme="majorHAnsi" w:hAnsiTheme="majorHAnsi"/>
                <w:sz w:val="20"/>
                <w:szCs w:val="20"/>
              </w:rPr>
              <w:t xml:space="preserve">Finalise research expenditure (Tobacco control, STEPS </w:t>
            </w:r>
            <w:r w:rsidR="002E0209">
              <w:rPr>
                <w:rFonts w:asciiTheme="majorHAnsi" w:hAnsiTheme="majorHAnsi"/>
                <w:sz w:val="20"/>
                <w:szCs w:val="20"/>
              </w:rPr>
              <w:t xml:space="preserve">gap </w:t>
            </w:r>
            <w:r>
              <w:rPr>
                <w:rFonts w:asciiTheme="majorHAnsi" w:hAnsiTheme="majorHAnsi"/>
                <w:sz w:val="20"/>
                <w:szCs w:val="20"/>
              </w:rPr>
              <w:t xml:space="preserve">and Global School Health Survey Surveillance, Consumer </w:t>
            </w:r>
            <w:r w:rsidR="00851061">
              <w:rPr>
                <w:rFonts w:asciiTheme="majorHAnsi" w:hAnsiTheme="majorHAnsi"/>
                <w:sz w:val="20"/>
                <w:szCs w:val="20"/>
              </w:rPr>
              <w:t xml:space="preserve">research, </w:t>
            </w:r>
            <w:proofErr w:type="spellStart"/>
            <w:r w:rsidR="00851061">
              <w:rPr>
                <w:rFonts w:asciiTheme="majorHAnsi" w:hAnsiTheme="majorHAnsi"/>
                <w:sz w:val="20"/>
                <w:szCs w:val="20"/>
              </w:rPr>
              <w:t>etc</w:t>
            </w:r>
            <w:proofErr w:type="spellEnd"/>
            <w:r>
              <w:rPr>
                <w:rFonts w:asciiTheme="majorHAnsi" w:hAnsiTheme="majorHAnsi"/>
                <w:sz w:val="20"/>
                <w:szCs w:val="20"/>
              </w:rPr>
              <w:t>)</w:t>
            </w:r>
          </w:p>
        </w:tc>
        <w:tc>
          <w:tcPr>
            <w:tcW w:w="2454" w:type="dxa"/>
            <w:tcBorders>
              <w:left w:val="single" w:sz="4" w:space="0" w:color="008000"/>
            </w:tcBorders>
          </w:tcPr>
          <w:p w:rsidR="002B3EBE" w:rsidRDefault="002E0209" w:rsidP="00BD3B2C">
            <w:pPr>
              <w:spacing w:before="60" w:after="60"/>
              <w:ind w:left="0" w:firstLine="0"/>
              <w:rPr>
                <w:rFonts w:asciiTheme="majorHAnsi" w:hAnsiTheme="majorHAnsi"/>
                <w:sz w:val="20"/>
                <w:szCs w:val="20"/>
              </w:rPr>
            </w:pPr>
            <w:r>
              <w:rPr>
                <w:rFonts w:asciiTheme="majorHAnsi" w:hAnsiTheme="majorHAnsi"/>
                <w:sz w:val="20"/>
                <w:szCs w:val="20"/>
              </w:rPr>
              <w:t>September</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Launch Tobacco mass media campaign</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May 2016</w:t>
            </w:r>
          </w:p>
        </w:tc>
        <w:tc>
          <w:tcPr>
            <w:tcW w:w="2084" w:type="dxa"/>
            <w:tcBorders>
              <w:left w:val="single" w:sz="4" w:space="0" w:color="008000"/>
            </w:tcBorders>
          </w:tcPr>
          <w:p w:rsidR="002B3EBE" w:rsidRDefault="006F2E5F"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Submit FY 2015/16 acquittal to Australian Government</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By 31 July 2016</w:t>
            </w:r>
          </w:p>
        </w:tc>
        <w:tc>
          <w:tcPr>
            <w:tcW w:w="2084" w:type="dxa"/>
            <w:tcBorders>
              <w:left w:val="single" w:sz="4" w:space="0" w:color="008000"/>
            </w:tcBorders>
          </w:tcPr>
          <w:p w:rsidR="002B3EBE" w:rsidRDefault="007722D7"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2B3EBE" w:rsidTr="002B3EBE">
        <w:trPr>
          <w:cantSplit/>
        </w:trPr>
        <w:tc>
          <w:tcPr>
            <w:tcW w:w="7159" w:type="dxa"/>
            <w:gridSpan w:val="2"/>
            <w:shd w:val="clear" w:color="auto" w:fill="CCFFCC"/>
          </w:tcPr>
          <w:p w:rsidR="002B3EBE" w:rsidRDefault="002B3EBE" w:rsidP="00BD3B2C">
            <w:pPr>
              <w:spacing w:before="60" w:after="60"/>
              <w:ind w:left="0" w:firstLine="0"/>
              <w:rPr>
                <w:rFonts w:asciiTheme="majorHAnsi" w:hAnsiTheme="majorHAnsi"/>
                <w:sz w:val="20"/>
                <w:szCs w:val="20"/>
              </w:rPr>
            </w:pPr>
            <w:r>
              <w:rPr>
                <w:rFonts w:asciiTheme="majorHAnsi" w:hAnsiTheme="majorHAnsi"/>
                <w:b/>
                <w:color w:val="008000"/>
                <w:sz w:val="20"/>
                <w:szCs w:val="20"/>
              </w:rPr>
              <w:t>16 month p</w:t>
            </w:r>
            <w:r w:rsidRPr="00BB1411">
              <w:rPr>
                <w:rFonts w:asciiTheme="majorHAnsi" w:hAnsiTheme="majorHAnsi"/>
                <w:b/>
                <w:color w:val="008000"/>
                <w:sz w:val="20"/>
                <w:szCs w:val="20"/>
              </w:rPr>
              <w:t>artner work planning</w:t>
            </w:r>
          </w:p>
        </w:tc>
        <w:tc>
          <w:tcPr>
            <w:tcW w:w="2084" w:type="dxa"/>
            <w:shd w:val="clear" w:color="auto" w:fill="CCFFCC"/>
          </w:tcPr>
          <w:p w:rsidR="002B3EBE" w:rsidRDefault="002B3EBE" w:rsidP="00BD3B2C">
            <w:pPr>
              <w:spacing w:before="60" w:after="60"/>
              <w:ind w:left="0" w:firstLine="0"/>
              <w:rPr>
                <w:rFonts w:asciiTheme="majorHAnsi" w:hAnsiTheme="majorHAnsi"/>
                <w:b/>
                <w:color w:val="008000"/>
                <w:sz w:val="20"/>
                <w:szCs w:val="20"/>
              </w:rPr>
            </w:pPr>
          </w:p>
        </w:tc>
      </w:tr>
      <w:tr w:rsidR="002B3EBE"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Finalise grant templates and tools for partner work planning sessions</w:t>
            </w:r>
          </w:p>
        </w:tc>
        <w:tc>
          <w:tcPr>
            <w:tcW w:w="2454" w:type="dxa"/>
            <w:tcBorders>
              <w:lef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By 31 January 2016</w:t>
            </w:r>
          </w:p>
        </w:tc>
        <w:tc>
          <w:tcPr>
            <w:tcW w:w="2084" w:type="dxa"/>
            <w:tcBorders>
              <w:left w:val="single" w:sz="4" w:space="0" w:color="008000"/>
            </w:tcBorders>
          </w:tcPr>
          <w:p w:rsidR="002B3EBE" w:rsidRDefault="00C77227"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2B3EBE"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Undertake partner capacity assessments</w:t>
            </w:r>
          </w:p>
        </w:tc>
        <w:tc>
          <w:tcPr>
            <w:tcW w:w="2454" w:type="dxa"/>
            <w:tcBorders>
              <w:left w:val="single" w:sz="4" w:space="0" w:color="008000"/>
            </w:tcBorders>
          </w:tcPr>
          <w:p w:rsidR="002B3EBE" w:rsidRPr="00BC0818" w:rsidRDefault="002B3EBE" w:rsidP="002E0209">
            <w:pPr>
              <w:spacing w:before="60" w:after="60"/>
              <w:ind w:left="0" w:firstLine="0"/>
              <w:rPr>
                <w:rFonts w:asciiTheme="majorHAnsi" w:hAnsiTheme="majorHAnsi"/>
                <w:sz w:val="20"/>
                <w:szCs w:val="20"/>
              </w:rPr>
            </w:pPr>
            <w:r>
              <w:rPr>
                <w:rFonts w:asciiTheme="majorHAnsi" w:hAnsiTheme="majorHAnsi"/>
                <w:sz w:val="20"/>
                <w:szCs w:val="20"/>
              </w:rPr>
              <w:t xml:space="preserve">January to </w:t>
            </w:r>
            <w:r w:rsidR="002E0209">
              <w:rPr>
                <w:rFonts w:asciiTheme="majorHAnsi" w:hAnsiTheme="majorHAnsi"/>
                <w:sz w:val="20"/>
                <w:szCs w:val="20"/>
              </w:rPr>
              <w:t>September</w:t>
            </w:r>
            <w:r>
              <w:rPr>
                <w:rFonts w:asciiTheme="majorHAnsi" w:hAnsiTheme="majorHAnsi"/>
                <w:sz w:val="20"/>
                <w:szCs w:val="20"/>
              </w:rPr>
              <w:t xml:space="preserve"> 2016</w:t>
            </w:r>
          </w:p>
        </w:tc>
        <w:tc>
          <w:tcPr>
            <w:tcW w:w="2084" w:type="dxa"/>
            <w:tcBorders>
              <w:left w:val="single" w:sz="4" w:space="0" w:color="008000"/>
            </w:tcBorders>
          </w:tcPr>
          <w:p w:rsidR="002B3EBE" w:rsidRDefault="00C77227" w:rsidP="00BD3B2C">
            <w:pPr>
              <w:spacing w:before="60" w:after="60"/>
              <w:ind w:left="0" w:firstLine="0"/>
              <w:rPr>
                <w:rFonts w:asciiTheme="majorHAnsi" w:hAnsiTheme="majorHAnsi"/>
                <w:sz w:val="20"/>
                <w:szCs w:val="20"/>
              </w:rPr>
            </w:pPr>
            <w:r>
              <w:rPr>
                <w:rFonts w:asciiTheme="majorHAnsi" w:hAnsiTheme="majorHAnsi"/>
                <w:sz w:val="20"/>
                <w:szCs w:val="20"/>
              </w:rPr>
              <w:t>Almost completed</w:t>
            </w:r>
          </w:p>
        </w:tc>
      </w:tr>
      <w:tr w:rsidR="002B3EBE"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Undertake partner work planning sessions</w:t>
            </w:r>
          </w:p>
        </w:tc>
        <w:tc>
          <w:tcPr>
            <w:tcW w:w="2454" w:type="dxa"/>
            <w:tcBorders>
              <w:left w:val="single" w:sz="4" w:space="0" w:color="008000"/>
            </w:tcBorders>
          </w:tcPr>
          <w:p w:rsidR="002B3EBE" w:rsidRPr="00BC0818" w:rsidRDefault="002B3EBE" w:rsidP="002E0209">
            <w:pPr>
              <w:spacing w:before="60" w:after="60"/>
              <w:ind w:left="0" w:firstLine="0"/>
              <w:rPr>
                <w:rFonts w:asciiTheme="majorHAnsi" w:hAnsiTheme="majorHAnsi"/>
                <w:sz w:val="20"/>
                <w:szCs w:val="20"/>
              </w:rPr>
            </w:pPr>
            <w:r>
              <w:rPr>
                <w:rFonts w:asciiTheme="majorHAnsi" w:hAnsiTheme="majorHAnsi"/>
                <w:sz w:val="20"/>
                <w:szCs w:val="20"/>
              </w:rPr>
              <w:t xml:space="preserve">March to </w:t>
            </w:r>
            <w:r w:rsidR="002E0209">
              <w:rPr>
                <w:rFonts w:asciiTheme="majorHAnsi" w:hAnsiTheme="majorHAnsi"/>
                <w:sz w:val="20"/>
                <w:szCs w:val="20"/>
              </w:rPr>
              <w:t>September</w:t>
            </w:r>
            <w:r>
              <w:rPr>
                <w:rFonts w:asciiTheme="majorHAnsi" w:hAnsiTheme="majorHAnsi"/>
                <w:sz w:val="20"/>
                <w:szCs w:val="20"/>
              </w:rPr>
              <w:t xml:space="preserve"> 2016</w:t>
            </w:r>
          </w:p>
        </w:tc>
        <w:tc>
          <w:tcPr>
            <w:tcW w:w="2084" w:type="dxa"/>
            <w:tcBorders>
              <w:left w:val="single" w:sz="4" w:space="0" w:color="008000"/>
            </w:tcBorders>
          </w:tcPr>
          <w:p w:rsidR="002B3EBE" w:rsidRDefault="00C77227" w:rsidP="002E0209">
            <w:pPr>
              <w:spacing w:before="60" w:after="60"/>
              <w:ind w:left="0" w:firstLine="0"/>
              <w:rPr>
                <w:rFonts w:asciiTheme="majorHAnsi" w:hAnsiTheme="majorHAnsi"/>
                <w:sz w:val="20"/>
                <w:szCs w:val="20"/>
              </w:rPr>
            </w:pPr>
            <w:r>
              <w:rPr>
                <w:rFonts w:asciiTheme="majorHAnsi" w:hAnsiTheme="majorHAnsi"/>
                <w:sz w:val="20"/>
                <w:szCs w:val="20"/>
              </w:rPr>
              <w:t xml:space="preserve">Completed in </w:t>
            </w:r>
            <w:r w:rsidR="002E0209">
              <w:rPr>
                <w:rFonts w:asciiTheme="majorHAnsi" w:hAnsiTheme="majorHAnsi"/>
                <w:sz w:val="20"/>
                <w:szCs w:val="20"/>
              </w:rPr>
              <w:t>September</w:t>
            </w:r>
            <w:r>
              <w:rPr>
                <w:rFonts w:asciiTheme="majorHAnsi" w:hAnsiTheme="majorHAnsi"/>
                <w:sz w:val="20"/>
                <w:szCs w:val="20"/>
              </w:rPr>
              <w:t xml:space="preserve"> 2016</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Submit partner work plans to Advisory Committees for review</w:t>
            </w:r>
          </w:p>
        </w:tc>
        <w:tc>
          <w:tcPr>
            <w:tcW w:w="2454" w:type="dxa"/>
            <w:tcBorders>
              <w:left w:val="single" w:sz="4" w:space="0" w:color="008000"/>
            </w:tcBorders>
          </w:tcPr>
          <w:p w:rsidR="002B3EBE" w:rsidRDefault="007722D7" w:rsidP="00BD3B2C">
            <w:pPr>
              <w:spacing w:before="60" w:after="60"/>
              <w:ind w:left="0" w:firstLine="0"/>
              <w:rPr>
                <w:rFonts w:asciiTheme="majorHAnsi" w:hAnsiTheme="majorHAnsi"/>
                <w:sz w:val="20"/>
                <w:szCs w:val="20"/>
              </w:rPr>
            </w:pPr>
            <w:r>
              <w:rPr>
                <w:rFonts w:asciiTheme="majorHAnsi" w:hAnsiTheme="majorHAnsi"/>
                <w:sz w:val="20"/>
                <w:szCs w:val="20"/>
              </w:rPr>
              <w:t>September</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C77227" w:rsidP="007722D7">
            <w:pPr>
              <w:spacing w:before="60" w:after="60"/>
              <w:ind w:left="0" w:firstLine="0"/>
              <w:rPr>
                <w:rFonts w:asciiTheme="majorHAnsi" w:hAnsiTheme="majorHAnsi"/>
                <w:sz w:val="20"/>
                <w:szCs w:val="20"/>
              </w:rPr>
            </w:pPr>
            <w:r>
              <w:rPr>
                <w:rFonts w:asciiTheme="majorHAnsi" w:hAnsiTheme="majorHAnsi"/>
                <w:sz w:val="20"/>
                <w:szCs w:val="20"/>
              </w:rPr>
              <w:t xml:space="preserve">Completed in </w:t>
            </w:r>
            <w:r w:rsidR="007722D7">
              <w:rPr>
                <w:rFonts w:asciiTheme="majorHAnsi" w:hAnsiTheme="majorHAnsi"/>
                <w:sz w:val="20"/>
                <w:szCs w:val="20"/>
              </w:rPr>
              <w:t xml:space="preserve">September </w:t>
            </w:r>
            <w:r>
              <w:rPr>
                <w:rFonts w:asciiTheme="majorHAnsi" w:hAnsiTheme="majorHAnsi"/>
                <w:sz w:val="20"/>
                <w:szCs w:val="20"/>
              </w:rPr>
              <w:t>2016</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 xml:space="preserve">Submit partner work plans (and proposed grant amounts) to </w:t>
            </w:r>
            <w:proofErr w:type="spellStart"/>
            <w:r>
              <w:rPr>
                <w:rFonts w:asciiTheme="majorHAnsi" w:hAnsiTheme="majorHAnsi"/>
                <w:sz w:val="20"/>
                <w:szCs w:val="20"/>
              </w:rPr>
              <w:t>TongaHealth</w:t>
            </w:r>
            <w:proofErr w:type="spellEnd"/>
            <w:r>
              <w:rPr>
                <w:rFonts w:asciiTheme="majorHAnsi" w:hAnsiTheme="majorHAnsi"/>
                <w:sz w:val="20"/>
                <w:szCs w:val="20"/>
              </w:rPr>
              <w:t xml:space="preserve"> Board and NNCDC for approval</w:t>
            </w:r>
          </w:p>
        </w:tc>
        <w:tc>
          <w:tcPr>
            <w:tcW w:w="2454" w:type="dxa"/>
            <w:tcBorders>
              <w:left w:val="single" w:sz="4" w:space="0" w:color="008000"/>
            </w:tcBorders>
          </w:tcPr>
          <w:p w:rsidR="002B3EBE" w:rsidRDefault="007722D7" w:rsidP="00BD3B2C">
            <w:pPr>
              <w:spacing w:before="60" w:after="60"/>
              <w:ind w:left="0" w:firstLine="0"/>
              <w:rPr>
                <w:rFonts w:asciiTheme="majorHAnsi" w:hAnsiTheme="majorHAnsi"/>
                <w:sz w:val="20"/>
                <w:szCs w:val="20"/>
              </w:rPr>
            </w:pPr>
            <w:r>
              <w:rPr>
                <w:rFonts w:asciiTheme="majorHAnsi" w:hAnsiTheme="majorHAnsi"/>
                <w:sz w:val="20"/>
                <w:szCs w:val="20"/>
              </w:rPr>
              <w:t xml:space="preserve">September </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442D76" w:rsidP="00BD3B2C">
            <w:pPr>
              <w:spacing w:before="60" w:after="60"/>
              <w:ind w:left="0" w:firstLine="0"/>
              <w:rPr>
                <w:rFonts w:asciiTheme="majorHAnsi" w:hAnsiTheme="majorHAnsi"/>
                <w:sz w:val="20"/>
                <w:szCs w:val="20"/>
              </w:rPr>
            </w:pPr>
            <w:r>
              <w:rPr>
                <w:rFonts w:asciiTheme="majorHAnsi" w:hAnsiTheme="majorHAnsi"/>
                <w:sz w:val="20"/>
                <w:szCs w:val="20"/>
              </w:rPr>
              <w:t xml:space="preserve">Approved by the </w:t>
            </w:r>
            <w:proofErr w:type="spellStart"/>
            <w:r>
              <w:rPr>
                <w:rFonts w:asciiTheme="majorHAnsi" w:hAnsiTheme="majorHAnsi"/>
                <w:sz w:val="20"/>
                <w:szCs w:val="20"/>
              </w:rPr>
              <w:t>TongaHealth</w:t>
            </w:r>
            <w:proofErr w:type="spellEnd"/>
            <w:r>
              <w:rPr>
                <w:rFonts w:asciiTheme="majorHAnsi" w:hAnsiTheme="majorHAnsi"/>
                <w:sz w:val="20"/>
                <w:szCs w:val="20"/>
              </w:rPr>
              <w:t xml:space="preserve"> Board</w:t>
            </w:r>
          </w:p>
        </w:tc>
      </w:tr>
      <w:tr w:rsidR="002B3EBE"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Enter into 16 month partner grant agreements</w:t>
            </w:r>
          </w:p>
        </w:tc>
        <w:tc>
          <w:tcPr>
            <w:tcW w:w="2454" w:type="dxa"/>
            <w:tcBorders>
              <w:left w:val="single" w:sz="4" w:space="0" w:color="008000"/>
            </w:tcBorders>
          </w:tcPr>
          <w:p w:rsidR="002B3EBE" w:rsidRPr="00BC0818" w:rsidRDefault="002B3EBE" w:rsidP="007722D7">
            <w:pPr>
              <w:spacing w:before="60" w:after="60"/>
              <w:ind w:left="0" w:firstLine="0"/>
              <w:rPr>
                <w:rFonts w:asciiTheme="majorHAnsi" w:hAnsiTheme="majorHAnsi"/>
                <w:sz w:val="20"/>
                <w:szCs w:val="20"/>
              </w:rPr>
            </w:pPr>
            <w:r>
              <w:rPr>
                <w:rFonts w:asciiTheme="majorHAnsi" w:hAnsiTheme="majorHAnsi"/>
                <w:sz w:val="20"/>
                <w:szCs w:val="20"/>
              </w:rPr>
              <w:t xml:space="preserve">April to </w:t>
            </w:r>
            <w:r w:rsidR="007722D7">
              <w:rPr>
                <w:rFonts w:asciiTheme="majorHAnsi" w:hAnsiTheme="majorHAnsi"/>
                <w:sz w:val="20"/>
                <w:szCs w:val="20"/>
              </w:rPr>
              <w:t xml:space="preserve">September </w:t>
            </w:r>
            <w:r>
              <w:rPr>
                <w:rFonts w:asciiTheme="majorHAnsi" w:hAnsiTheme="majorHAnsi"/>
                <w:sz w:val="20"/>
                <w:szCs w:val="20"/>
              </w:rPr>
              <w:t>2016</w:t>
            </w:r>
          </w:p>
        </w:tc>
        <w:tc>
          <w:tcPr>
            <w:tcW w:w="208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Ongoing partner capacity development ‘one-on-one’ and/or group training sessions</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Commencing May 2016</w:t>
            </w:r>
          </w:p>
        </w:tc>
        <w:tc>
          <w:tcPr>
            <w:tcW w:w="2084" w:type="dxa"/>
            <w:tcBorders>
              <w:left w:val="single" w:sz="4" w:space="0" w:color="008000"/>
            </w:tcBorders>
          </w:tcPr>
          <w:p w:rsidR="002B3EBE" w:rsidRDefault="005B363D" w:rsidP="00BD3B2C">
            <w:pPr>
              <w:spacing w:before="60" w:after="60"/>
              <w:ind w:left="0" w:firstLine="0"/>
              <w:rPr>
                <w:rFonts w:asciiTheme="majorHAnsi" w:hAnsiTheme="majorHAnsi"/>
                <w:sz w:val="20"/>
                <w:szCs w:val="20"/>
              </w:rPr>
            </w:pPr>
            <w:r>
              <w:rPr>
                <w:rFonts w:asciiTheme="majorHAnsi" w:hAnsiTheme="majorHAnsi"/>
                <w:sz w:val="20"/>
                <w:szCs w:val="20"/>
              </w:rPr>
              <w:t>Ongoing</w:t>
            </w: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Strategic Plan 2016-2020 finalised</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March 2016</w:t>
            </w:r>
          </w:p>
        </w:tc>
        <w:tc>
          <w:tcPr>
            <w:tcW w:w="2084" w:type="dxa"/>
            <w:tcBorders>
              <w:left w:val="single" w:sz="4" w:space="0" w:color="008000"/>
            </w:tcBorders>
          </w:tcPr>
          <w:p w:rsidR="002B3EBE" w:rsidRDefault="00805C28"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2B3EBE" w:rsidTr="002B3EBE">
        <w:trPr>
          <w:cantSplit/>
        </w:trPr>
        <w:tc>
          <w:tcPr>
            <w:tcW w:w="4705" w:type="dxa"/>
            <w:tcBorders>
              <w:right w:val="single" w:sz="4" w:space="0" w:color="008000"/>
            </w:tcBorders>
          </w:tcPr>
          <w:p w:rsidR="002B3EBE" w:rsidRDefault="002B3EBE" w:rsidP="00F10342">
            <w:pPr>
              <w:spacing w:before="60" w:after="60"/>
              <w:ind w:left="0" w:firstLine="0"/>
              <w:rPr>
                <w:rFonts w:asciiTheme="majorHAnsi" w:hAnsiTheme="majorHAnsi"/>
                <w:sz w:val="20"/>
                <w:szCs w:val="20"/>
              </w:rPr>
            </w:pPr>
            <w:r>
              <w:rPr>
                <w:rFonts w:asciiTheme="majorHAnsi" w:hAnsiTheme="majorHAnsi"/>
                <w:sz w:val="20"/>
                <w:szCs w:val="20"/>
              </w:rPr>
              <w:t>Statement of Corporate Intent, Annual Business plan and Budget 2016-2017 submitted to Minister for Health for approval</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By 1 June 2016</w:t>
            </w:r>
          </w:p>
        </w:tc>
        <w:tc>
          <w:tcPr>
            <w:tcW w:w="2084" w:type="dxa"/>
            <w:tcBorders>
              <w:left w:val="single" w:sz="4" w:space="0" w:color="008000"/>
            </w:tcBorders>
          </w:tcPr>
          <w:p w:rsidR="002B3EBE" w:rsidRDefault="007722D7" w:rsidP="00BD3B2C">
            <w:pPr>
              <w:spacing w:before="60" w:after="60"/>
              <w:ind w:left="0" w:firstLine="0"/>
              <w:rPr>
                <w:rFonts w:asciiTheme="majorHAnsi" w:hAnsiTheme="majorHAnsi"/>
                <w:sz w:val="20"/>
                <w:szCs w:val="20"/>
              </w:rPr>
            </w:pPr>
            <w:r>
              <w:rPr>
                <w:rFonts w:asciiTheme="majorHAnsi" w:hAnsiTheme="majorHAnsi"/>
                <w:sz w:val="20"/>
                <w:szCs w:val="20"/>
              </w:rPr>
              <w:t>Completed in July 2016</w:t>
            </w:r>
          </w:p>
        </w:tc>
      </w:tr>
      <w:tr w:rsidR="002B3EBE" w:rsidTr="002B3EBE">
        <w:trPr>
          <w:cantSplit/>
        </w:trPr>
        <w:tc>
          <w:tcPr>
            <w:tcW w:w="7159" w:type="dxa"/>
            <w:gridSpan w:val="2"/>
            <w:shd w:val="clear" w:color="auto" w:fill="CCFFCC"/>
          </w:tcPr>
          <w:p w:rsidR="002B3EBE" w:rsidRDefault="002B3EBE" w:rsidP="00BD3B2C">
            <w:pPr>
              <w:spacing w:before="60" w:after="60"/>
              <w:ind w:left="0" w:firstLine="0"/>
              <w:rPr>
                <w:rFonts w:asciiTheme="majorHAnsi" w:hAnsiTheme="majorHAnsi"/>
                <w:sz w:val="20"/>
                <w:szCs w:val="20"/>
              </w:rPr>
            </w:pPr>
            <w:r>
              <w:rPr>
                <w:rFonts w:asciiTheme="majorHAnsi" w:hAnsiTheme="majorHAnsi"/>
                <w:b/>
                <w:color w:val="008000"/>
                <w:sz w:val="20"/>
                <w:szCs w:val="20"/>
              </w:rPr>
              <w:t>FY 2015/16 ‘Stage one’ funds</w:t>
            </w:r>
          </w:p>
        </w:tc>
        <w:tc>
          <w:tcPr>
            <w:tcW w:w="2084" w:type="dxa"/>
            <w:shd w:val="clear" w:color="auto" w:fill="CCFFCC"/>
          </w:tcPr>
          <w:p w:rsidR="002B3EBE" w:rsidRDefault="002B3EBE" w:rsidP="00BD3B2C">
            <w:pPr>
              <w:spacing w:before="60" w:after="60"/>
              <w:ind w:left="0" w:firstLine="0"/>
              <w:rPr>
                <w:rFonts w:asciiTheme="majorHAnsi" w:hAnsiTheme="majorHAnsi"/>
                <w:b/>
                <w:color w:val="008000"/>
                <w:sz w:val="20"/>
                <w:szCs w:val="20"/>
              </w:rPr>
            </w:pPr>
          </w:p>
        </w:tc>
      </w:tr>
      <w:tr w:rsidR="002B3EBE" w:rsidRPr="00BC0818"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Disburse ‘stage one’ funds to partners</w:t>
            </w:r>
          </w:p>
        </w:tc>
        <w:tc>
          <w:tcPr>
            <w:tcW w:w="2454" w:type="dxa"/>
            <w:tcBorders>
              <w:lef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March and April 2016</w:t>
            </w:r>
          </w:p>
        </w:tc>
        <w:tc>
          <w:tcPr>
            <w:tcW w:w="2084" w:type="dxa"/>
            <w:tcBorders>
              <w:left w:val="single" w:sz="4" w:space="0" w:color="008000"/>
            </w:tcBorders>
          </w:tcPr>
          <w:p w:rsidR="002B3EBE" w:rsidRDefault="00C77227" w:rsidP="00805C28">
            <w:pPr>
              <w:spacing w:before="60" w:after="60"/>
              <w:ind w:left="0" w:firstLine="0"/>
              <w:rPr>
                <w:rFonts w:asciiTheme="majorHAnsi" w:hAnsiTheme="majorHAnsi"/>
                <w:sz w:val="20"/>
                <w:szCs w:val="20"/>
              </w:rPr>
            </w:pPr>
            <w:r>
              <w:rPr>
                <w:rFonts w:asciiTheme="majorHAnsi" w:hAnsiTheme="majorHAnsi"/>
                <w:sz w:val="20"/>
                <w:szCs w:val="20"/>
              </w:rPr>
              <w:t xml:space="preserve">May </w:t>
            </w:r>
            <w:r w:rsidR="00805C28">
              <w:rPr>
                <w:rFonts w:asciiTheme="majorHAnsi" w:hAnsiTheme="majorHAnsi"/>
                <w:sz w:val="20"/>
                <w:szCs w:val="20"/>
              </w:rPr>
              <w:t xml:space="preserve"> - September</w:t>
            </w:r>
            <w:r>
              <w:rPr>
                <w:rFonts w:asciiTheme="majorHAnsi" w:hAnsiTheme="majorHAnsi"/>
                <w:sz w:val="20"/>
                <w:szCs w:val="20"/>
              </w:rPr>
              <w:t xml:space="preserve"> 2016</w:t>
            </w:r>
          </w:p>
        </w:tc>
      </w:tr>
      <w:tr w:rsidR="002B3EBE" w:rsidRPr="00BC0818" w:rsidTr="002B3EBE">
        <w:trPr>
          <w:cantSplit/>
        </w:trPr>
        <w:tc>
          <w:tcPr>
            <w:tcW w:w="4705" w:type="dxa"/>
            <w:tcBorders>
              <w:right w:val="single" w:sz="4" w:space="0" w:color="008000"/>
            </w:tcBorders>
          </w:tcPr>
          <w:p w:rsidR="002B3EBE" w:rsidRPr="00BC0818" w:rsidRDefault="002B3EBE" w:rsidP="00BD3B2C">
            <w:pPr>
              <w:spacing w:before="60" w:after="60"/>
              <w:ind w:left="0" w:firstLine="0"/>
              <w:rPr>
                <w:rFonts w:asciiTheme="majorHAnsi" w:hAnsiTheme="majorHAnsi"/>
                <w:sz w:val="20"/>
                <w:szCs w:val="20"/>
              </w:rPr>
            </w:pPr>
            <w:r>
              <w:rPr>
                <w:rFonts w:asciiTheme="majorHAnsi" w:hAnsiTheme="majorHAnsi"/>
                <w:sz w:val="20"/>
                <w:szCs w:val="20"/>
              </w:rPr>
              <w:t>70% of AUD$500,000 funds disbursed</w:t>
            </w:r>
          </w:p>
        </w:tc>
        <w:tc>
          <w:tcPr>
            <w:tcW w:w="2454" w:type="dxa"/>
            <w:tcBorders>
              <w:left w:val="single" w:sz="4" w:space="0" w:color="008000"/>
            </w:tcBorders>
          </w:tcPr>
          <w:p w:rsidR="002B3EBE" w:rsidRPr="00BC0818" w:rsidRDefault="002B3EBE" w:rsidP="007722D7">
            <w:pPr>
              <w:spacing w:before="60" w:after="60"/>
              <w:ind w:left="0" w:firstLine="0"/>
              <w:rPr>
                <w:rFonts w:asciiTheme="majorHAnsi" w:hAnsiTheme="majorHAnsi"/>
                <w:sz w:val="20"/>
                <w:szCs w:val="20"/>
              </w:rPr>
            </w:pPr>
            <w:r>
              <w:rPr>
                <w:rFonts w:asciiTheme="majorHAnsi" w:hAnsiTheme="majorHAnsi"/>
                <w:sz w:val="20"/>
                <w:szCs w:val="20"/>
              </w:rPr>
              <w:t xml:space="preserve">By 30 </w:t>
            </w:r>
            <w:r w:rsidR="007722D7">
              <w:rPr>
                <w:rFonts w:asciiTheme="majorHAnsi" w:hAnsiTheme="majorHAnsi"/>
                <w:sz w:val="20"/>
                <w:szCs w:val="20"/>
              </w:rPr>
              <w:t>September</w:t>
            </w:r>
            <w:r>
              <w:rPr>
                <w:rFonts w:asciiTheme="majorHAnsi" w:hAnsiTheme="majorHAnsi"/>
                <w:sz w:val="20"/>
                <w:szCs w:val="20"/>
              </w:rPr>
              <w:t xml:space="preserve"> 2016</w:t>
            </w:r>
          </w:p>
        </w:tc>
        <w:tc>
          <w:tcPr>
            <w:tcW w:w="208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Preliminary assessment of partners ‘stage one’ performance</w:t>
            </w:r>
          </w:p>
        </w:tc>
        <w:tc>
          <w:tcPr>
            <w:tcW w:w="2454" w:type="dxa"/>
            <w:tcBorders>
              <w:left w:val="single" w:sz="4" w:space="0" w:color="008000"/>
            </w:tcBorders>
          </w:tcPr>
          <w:p w:rsidR="002B3EBE" w:rsidRDefault="002B3EBE" w:rsidP="007722D7">
            <w:pPr>
              <w:spacing w:before="60" w:after="60"/>
              <w:ind w:left="0" w:firstLine="0"/>
              <w:rPr>
                <w:rFonts w:asciiTheme="majorHAnsi" w:hAnsiTheme="majorHAnsi"/>
                <w:sz w:val="20"/>
                <w:szCs w:val="20"/>
              </w:rPr>
            </w:pPr>
            <w:r>
              <w:rPr>
                <w:rFonts w:asciiTheme="majorHAnsi" w:hAnsiTheme="majorHAnsi"/>
                <w:sz w:val="20"/>
                <w:szCs w:val="20"/>
              </w:rPr>
              <w:t xml:space="preserve">By </w:t>
            </w:r>
            <w:r w:rsidR="007722D7">
              <w:rPr>
                <w:rFonts w:asciiTheme="majorHAnsi" w:hAnsiTheme="majorHAnsi"/>
                <w:sz w:val="20"/>
                <w:szCs w:val="20"/>
              </w:rPr>
              <w:t>December</w:t>
            </w:r>
            <w:r>
              <w:rPr>
                <w:rFonts w:asciiTheme="majorHAnsi" w:hAnsiTheme="majorHAnsi"/>
                <w:sz w:val="20"/>
                <w:szCs w:val="20"/>
              </w:rPr>
              <w:t xml:space="preserve"> 2016</w:t>
            </w:r>
          </w:p>
        </w:tc>
        <w:tc>
          <w:tcPr>
            <w:tcW w:w="208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Submit FY 2015/16 acquittal to Australian Government</w:t>
            </w:r>
          </w:p>
        </w:tc>
        <w:tc>
          <w:tcPr>
            <w:tcW w:w="245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By 31 July 2016</w:t>
            </w:r>
          </w:p>
        </w:tc>
        <w:tc>
          <w:tcPr>
            <w:tcW w:w="2084" w:type="dxa"/>
            <w:tcBorders>
              <w:left w:val="single" w:sz="4" w:space="0" w:color="008000"/>
            </w:tcBorders>
          </w:tcPr>
          <w:p w:rsidR="002B3EBE" w:rsidRDefault="007722D7"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2B3EBE" w:rsidTr="002B3EBE">
        <w:trPr>
          <w:cantSplit/>
        </w:trPr>
        <w:tc>
          <w:tcPr>
            <w:tcW w:w="7159" w:type="dxa"/>
            <w:gridSpan w:val="2"/>
            <w:shd w:val="clear" w:color="auto" w:fill="CCFFCC"/>
          </w:tcPr>
          <w:p w:rsidR="002B3EBE" w:rsidRDefault="002B3EBE" w:rsidP="00BD3B2C">
            <w:pPr>
              <w:spacing w:before="60" w:after="60"/>
              <w:ind w:left="0" w:firstLine="0"/>
              <w:rPr>
                <w:rFonts w:asciiTheme="majorHAnsi" w:hAnsiTheme="majorHAnsi"/>
                <w:sz w:val="20"/>
                <w:szCs w:val="20"/>
              </w:rPr>
            </w:pPr>
            <w:r>
              <w:rPr>
                <w:rFonts w:asciiTheme="majorHAnsi" w:hAnsiTheme="majorHAnsi"/>
                <w:b/>
                <w:color w:val="008000"/>
                <w:sz w:val="20"/>
                <w:szCs w:val="20"/>
              </w:rPr>
              <w:t>FY 2016/17 ‘Stage two’ funds</w:t>
            </w:r>
          </w:p>
        </w:tc>
        <w:tc>
          <w:tcPr>
            <w:tcW w:w="2084" w:type="dxa"/>
            <w:shd w:val="clear" w:color="auto" w:fill="CCFFCC"/>
          </w:tcPr>
          <w:p w:rsidR="002B3EBE" w:rsidRDefault="002B3EBE" w:rsidP="00BD3B2C">
            <w:pPr>
              <w:spacing w:before="60" w:after="60"/>
              <w:ind w:left="0" w:firstLine="0"/>
              <w:rPr>
                <w:rFonts w:asciiTheme="majorHAnsi" w:hAnsiTheme="majorHAnsi"/>
                <w:b/>
                <w:color w:val="008000"/>
                <w:sz w:val="20"/>
                <w:szCs w:val="20"/>
              </w:rPr>
            </w:pPr>
          </w:p>
        </w:tc>
      </w:tr>
      <w:tr w:rsidR="007B070B" w:rsidTr="002B3EBE">
        <w:trPr>
          <w:cantSplit/>
        </w:trPr>
        <w:tc>
          <w:tcPr>
            <w:tcW w:w="4705" w:type="dxa"/>
            <w:tcBorders>
              <w:right w:val="single" w:sz="4" w:space="0" w:color="008000"/>
            </w:tcBorders>
          </w:tcPr>
          <w:p w:rsidR="007B070B" w:rsidRDefault="007B070B" w:rsidP="00BD3B2C">
            <w:pPr>
              <w:spacing w:before="60" w:after="60"/>
              <w:ind w:left="0" w:firstLine="0"/>
              <w:rPr>
                <w:rFonts w:asciiTheme="majorHAnsi" w:hAnsiTheme="majorHAnsi"/>
                <w:sz w:val="20"/>
                <w:szCs w:val="20"/>
              </w:rPr>
            </w:pPr>
            <w:r>
              <w:rPr>
                <w:rFonts w:asciiTheme="majorHAnsi" w:hAnsiTheme="majorHAnsi"/>
                <w:sz w:val="20"/>
                <w:szCs w:val="20"/>
              </w:rPr>
              <w:lastRenderedPageBreak/>
              <w:t xml:space="preserve">Submit high level budget and work plan to Board for approval </w:t>
            </w:r>
          </w:p>
        </w:tc>
        <w:tc>
          <w:tcPr>
            <w:tcW w:w="2454" w:type="dxa"/>
            <w:tcBorders>
              <w:left w:val="single" w:sz="4" w:space="0" w:color="008000"/>
            </w:tcBorders>
          </w:tcPr>
          <w:p w:rsidR="007B070B" w:rsidRDefault="00805C28" w:rsidP="00BD3B2C">
            <w:pPr>
              <w:spacing w:before="60" w:after="60"/>
              <w:ind w:left="0" w:firstLine="0"/>
              <w:rPr>
                <w:rFonts w:asciiTheme="majorHAnsi" w:hAnsiTheme="majorHAnsi"/>
                <w:sz w:val="20"/>
                <w:szCs w:val="20"/>
              </w:rPr>
            </w:pPr>
            <w:r>
              <w:rPr>
                <w:rFonts w:asciiTheme="majorHAnsi" w:hAnsiTheme="majorHAnsi"/>
                <w:sz w:val="20"/>
                <w:szCs w:val="20"/>
              </w:rPr>
              <w:t>July</w:t>
            </w:r>
            <w:r w:rsidR="007B070B">
              <w:rPr>
                <w:rFonts w:asciiTheme="majorHAnsi" w:hAnsiTheme="majorHAnsi"/>
                <w:sz w:val="20"/>
                <w:szCs w:val="20"/>
              </w:rPr>
              <w:t xml:space="preserve"> 2016</w:t>
            </w:r>
          </w:p>
        </w:tc>
        <w:tc>
          <w:tcPr>
            <w:tcW w:w="2084" w:type="dxa"/>
            <w:tcBorders>
              <w:left w:val="single" w:sz="4" w:space="0" w:color="008000"/>
            </w:tcBorders>
          </w:tcPr>
          <w:p w:rsidR="007B070B" w:rsidRDefault="00805C28" w:rsidP="00BD3B2C">
            <w:pPr>
              <w:spacing w:before="60" w:after="60"/>
              <w:ind w:left="0" w:firstLine="0"/>
              <w:rPr>
                <w:rFonts w:asciiTheme="majorHAnsi" w:hAnsiTheme="majorHAnsi"/>
                <w:sz w:val="20"/>
                <w:szCs w:val="20"/>
              </w:rPr>
            </w:pPr>
            <w:r>
              <w:rPr>
                <w:rFonts w:asciiTheme="majorHAnsi" w:hAnsiTheme="majorHAnsi"/>
                <w:sz w:val="20"/>
                <w:szCs w:val="20"/>
              </w:rPr>
              <w:t>Completed</w:t>
            </w:r>
          </w:p>
        </w:tc>
      </w:tr>
      <w:tr w:rsidR="007B070B" w:rsidTr="002B3EBE">
        <w:trPr>
          <w:cantSplit/>
        </w:trPr>
        <w:tc>
          <w:tcPr>
            <w:tcW w:w="4705" w:type="dxa"/>
            <w:tcBorders>
              <w:right w:val="single" w:sz="4" w:space="0" w:color="008000"/>
            </w:tcBorders>
          </w:tcPr>
          <w:p w:rsidR="007B070B" w:rsidRDefault="007B070B" w:rsidP="007B070B">
            <w:pPr>
              <w:spacing w:before="60" w:after="60"/>
              <w:ind w:left="0" w:firstLine="0"/>
              <w:rPr>
                <w:rFonts w:asciiTheme="majorHAnsi" w:hAnsiTheme="majorHAnsi"/>
                <w:sz w:val="20"/>
                <w:szCs w:val="20"/>
              </w:rPr>
            </w:pPr>
            <w:r>
              <w:rPr>
                <w:rFonts w:asciiTheme="majorHAnsi" w:hAnsiTheme="majorHAnsi"/>
                <w:sz w:val="20"/>
                <w:szCs w:val="20"/>
              </w:rPr>
              <w:t>Submit high level budget and work plan to NNCDC</w:t>
            </w:r>
            <w:r w:rsidR="00C807E6">
              <w:rPr>
                <w:rFonts w:asciiTheme="majorHAnsi" w:hAnsiTheme="majorHAnsi"/>
                <w:sz w:val="20"/>
                <w:szCs w:val="20"/>
              </w:rPr>
              <w:t xml:space="preserve"> </w:t>
            </w:r>
            <w:r>
              <w:rPr>
                <w:rFonts w:asciiTheme="majorHAnsi" w:hAnsiTheme="majorHAnsi"/>
                <w:sz w:val="20"/>
                <w:szCs w:val="20"/>
              </w:rPr>
              <w:t xml:space="preserve"> for approval</w:t>
            </w:r>
          </w:p>
        </w:tc>
        <w:tc>
          <w:tcPr>
            <w:tcW w:w="2454" w:type="dxa"/>
            <w:tcBorders>
              <w:left w:val="single" w:sz="4" w:space="0" w:color="008000"/>
            </w:tcBorders>
          </w:tcPr>
          <w:p w:rsidR="007B070B" w:rsidRDefault="00805C28" w:rsidP="00BD3B2C">
            <w:pPr>
              <w:spacing w:before="60" w:after="60"/>
              <w:ind w:left="0" w:firstLine="0"/>
              <w:rPr>
                <w:rFonts w:asciiTheme="majorHAnsi" w:hAnsiTheme="majorHAnsi"/>
                <w:sz w:val="20"/>
                <w:szCs w:val="20"/>
              </w:rPr>
            </w:pPr>
            <w:r>
              <w:rPr>
                <w:rFonts w:asciiTheme="majorHAnsi" w:hAnsiTheme="majorHAnsi"/>
                <w:sz w:val="20"/>
                <w:szCs w:val="20"/>
              </w:rPr>
              <w:t>Septem</w:t>
            </w:r>
            <w:r w:rsidR="007722D7">
              <w:rPr>
                <w:rFonts w:asciiTheme="majorHAnsi" w:hAnsiTheme="majorHAnsi"/>
                <w:sz w:val="20"/>
                <w:szCs w:val="20"/>
              </w:rPr>
              <w:t>ber</w:t>
            </w:r>
            <w:r w:rsidR="006F2E5F">
              <w:rPr>
                <w:rFonts w:asciiTheme="majorHAnsi" w:hAnsiTheme="majorHAnsi"/>
                <w:sz w:val="20"/>
                <w:szCs w:val="20"/>
              </w:rPr>
              <w:t xml:space="preserve"> 2016</w:t>
            </w:r>
          </w:p>
        </w:tc>
        <w:tc>
          <w:tcPr>
            <w:tcW w:w="2084" w:type="dxa"/>
            <w:tcBorders>
              <w:left w:val="single" w:sz="4" w:space="0" w:color="008000"/>
            </w:tcBorders>
          </w:tcPr>
          <w:p w:rsidR="007B070B" w:rsidRDefault="00442D76" w:rsidP="00BD3B2C">
            <w:pPr>
              <w:spacing w:before="60" w:after="60"/>
              <w:ind w:left="0" w:firstLine="0"/>
              <w:rPr>
                <w:rFonts w:asciiTheme="majorHAnsi" w:hAnsiTheme="majorHAnsi"/>
                <w:sz w:val="20"/>
                <w:szCs w:val="20"/>
              </w:rPr>
            </w:pPr>
            <w:r>
              <w:rPr>
                <w:rFonts w:asciiTheme="majorHAnsi" w:hAnsiTheme="majorHAnsi"/>
                <w:sz w:val="20"/>
                <w:szCs w:val="20"/>
              </w:rPr>
              <w:t>To be completed on 25 November 2016</w:t>
            </w:r>
          </w:p>
        </w:tc>
      </w:tr>
      <w:tr w:rsidR="007B070B" w:rsidTr="002B3EBE">
        <w:trPr>
          <w:cantSplit/>
        </w:trPr>
        <w:tc>
          <w:tcPr>
            <w:tcW w:w="4705" w:type="dxa"/>
            <w:tcBorders>
              <w:right w:val="single" w:sz="4" w:space="0" w:color="008000"/>
            </w:tcBorders>
          </w:tcPr>
          <w:p w:rsidR="007B070B" w:rsidRDefault="007B070B" w:rsidP="00BD3B2C">
            <w:pPr>
              <w:spacing w:before="60" w:after="60"/>
              <w:ind w:left="0" w:firstLine="0"/>
              <w:rPr>
                <w:rFonts w:asciiTheme="majorHAnsi" w:hAnsiTheme="majorHAnsi"/>
                <w:sz w:val="20"/>
                <w:szCs w:val="20"/>
              </w:rPr>
            </w:pPr>
          </w:p>
        </w:tc>
        <w:tc>
          <w:tcPr>
            <w:tcW w:w="2454" w:type="dxa"/>
            <w:tcBorders>
              <w:left w:val="single" w:sz="4" w:space="0" w:color="008000"/>
            </w:tcBorders>
          </w:tcPr>
          <w:p w:rsidR="007B070B" w:rsidRDefault="007B070B" w:rsidP="00BD3B2C">
            <w:pPr>
              <w:spacing w:before="60" w:after="60"/>
              <w:ind w:left="0" w:firstLine="0"/>
              <w:rPr>
                <w:rFonts w:asciiTheme="majorHAnsi" w:hAnsiTheme="majorHAnsi"/>
                <w:sz w:val="20"/>
                <w:szCs w:val="20"/>
              </w:rPr>
            </w:pPr>
          </w:p>
        </w:tc>
        <w:tc>
          <w:tcPr>
            <w:tcW w:w="2084" w:type="dxa"/>
            <w:tcBorders>
              <w:left w:val="single" w:sz="4" w:space="0" w:color="008000"/>
            </w:tcBorders>
          </w:tcPr>
          <w:p w:rsidR="007B070B" w:rsidRDefault="007B070B" w:rsidP="00BD3B2C">
            <w:pPr>
              <w:spacing w:before="60" w:after="60"/>
              <w:ind w:left="0" w:firstLine="0"/>
              <w:rPr>
                <w:rFonts w:asciiTheme="majorHAnsi" w:hAnsiTheme="majorHAnsi"/>
                <w:sz w:val="20"/>
                <w:szCs w:val="20"/>
              </w:rPr>
            </w:pPr>
          </w:p>
        </w:tc>
      </w:tr>
      <w:tr w:rsidR="002B3EBE" w:rsidTr="002B3EBE">
        <w:trPr>
          <w:cantSplit/>
        </w:trPr>
        <w:tc>
          <w:tcPr>
            <w:tcW w:w="4705" w:type="dxa"/>
            <w:tcBorders>
              <w:right w:val="single" w:sz="4" w:space="0" w:color="008000"/>
            </w:tcBorders>
          </w:tcPr>
          <w:p w:rsidR="002B3EBE" w:rsidRDefault="002B3EBE" w:rsidP="00BD3B2C">
            <w:pPr>
              <w:spacing w:before="60" w:after="60"/>
              <w:ind w:left="0" w:firstLine="0"/>
              <w:rPr>
                <w:rFonts w:asciiTheme="majorHAnsi" w:hAnsiTheme="majorHAnsi"/>
                <w:sz w:val="20"/>
                <w:szCs w:val="20"/>
              </w:rPr>
            </w:pPr>
            <w:r>
              <w:rPr>
                <w:rFonts w:asciiTheme="majorHAnsi" w:hAnsiTheme="majorHAnsi"/>
                <w:sz w:val="20"/>
                <w:szCs w:val="20"/>
              </w:rPr>
              <w:t>Submit ‘stage two’ high-level budget to Australian Government</w:t>
            </w:r>
          </w:p>
        </w:tc>
        <w:tc>
          <w:tcPr>
            <w:tcW w:w="2454" w:type="dxa"/>
            <w:tcBorders>
              <w:left w:val="single" w:sz="4" w:space="0" w:color="008000"/>
            </w:tcBorders>
          </w:tcPr>
          <w:p w:rsidR="002B3EBE" w:rsidRDefault="00963D6D" w:rsidP="00BD3B2C">
            <w:pPr>
              <w:spacing w:before="60" w:after="60"/>
              <w:ind w:left="0" w:firstLine="0"/>
              <w:rPr>
                <w:rFonts w:asciiTheme="majorHAnsi" w:hAnsiTheme="majorHAnsi"/>
                <w:sz w:val="20"/>
                <w:szCs w:val="20"/>
              </w:rPr>
            </w:pPr>
            <w:r>
              <w:rPr>
                <w:rFonts w:asciiTheme="majorHAnsi" w:hAnsiTheme="majorHAnsi"/>
                <w:sz w:val="20"/>
                <w:szCs w:val="20"/>
              </w:rPr>
              <w:t>October</w:t>
            </w:r>
            <w:r w:rsidR="002B3EBE">
              <w:rPr>
                <w:rFonts w:asciiTheme="majorHAnsi" w:hAnsiTheme="majorHAnsi"/>
                <w:sz w:val="20"/>
                <w:szCs w:val="20"/>
              </w:rPr>
              <w:t xml:space="preserve"> 2016</w:t>
            </w:r>
          </w:p>
        </w:tc>
        <w:tc>
          <w:tcPr>
            <w:tcW w:w="2084" w:type="dxa"/>
            <w:tcBorders>
              <w:left w:val="single" w:sz="4" w:space="0" w:color="008000"/>
            </w:tcBorders>
          </w:tcPr>
          <w:p w:rsidR="002B3EBE" w:rsidRDefault="002B3EBE" w:rsidP="00BD3B2C">
            <w:pPr>
              <w:spacing w:before="60" w:after="60"/>
              <w:ind w:left="0" w:firstLine="0"/>
              <w:rPr>
                <w:rFonts w:asciiTheme="majorHAnsi" w:hAnsiTheme="majorHAnsi"/>
                <w:sz w:val="20"/>
                <w:szCs w:val="20"/>
              </w:rPr>
            </w:pPr>
          </w:p>
        </w:tc>
      </w:tr>
    </w:tbl>
    <w:p w:rsidR="00FA49C4" w:rsidRDefault="00CE04BA" w:rsidP="00D66F48">
      <w:pPr>
        <w:spacing w:before="200" w:after="200"/>
        <w:ind w:left="0" w:firstLine="0"/>
        <w:rPr>
          <w:rFonts w:asciiTheme="majorHAnsi" w:hAnsiTheme="majorHAnsi"/>
          <w:b/>
        </w:rPr>
      </w:pPr>
      <w:r>
        <w:rPr>
          <w:rFonts w:asciiTheme="majorHAnsi" w:hAnsiTheme="majorHAnsi"/>
          <w:b/>
        </w:rPr>
        <w:t>6</w:t>
      </w:r>
      <w:r w:rsidR="00FA49C4">
        <w:rPr>
          <w:rFonts w:asciiTheme="majorHAnsi" w:hAnsiTheme="majorHAnsi"/>
          <w:b/>
        </w:rPr>
        <w:t>. Proposed Capacity Building Activities</w:t>
      </w:r>
    </w:p>
    <w:p w:rsidR="00FA49C4" w:rsidRDefault="00FA49C4" w:rsidP="00FA49C4">
      <w:pPr>
        <w:spacing w:before="60" w:after="60"/>
        <w:ind w:left="0" w:firstLine="0"/>
        <w:rPr>
          <w:rFonts w:asciiTheme="majorHAnsi" w:hAnsiTheme="majorHAnsi"/>
        </w:rPr>
      </w:pPr>
      <w:proofErr w:type="spellStart"/>
      <w:r>
        <w:rPr>
          <w:rFonts w:asciiTheme="majorHAnsi" w:hAnsiTheme="majorHAnsi"/>
        </w:rPr>
        <w:t>TongaHealth</w:t>
      </w:r>
      <w:proofErr w:type="spellEnd"/>
      <w:r>
        <w:rPr>
          <w:rFonts w:asciiTheme="majorHAnsi" w:hAnsiTheme="majorHAnsi"/>
        </w:rPr>
        <w:t xml:space="preserve"> will integrate capacity development plans into partners’ work plans to mitigate any identified risks.  Capacity development will be overseen by </w:t>
      </w:r>
      <w:proofErr w:type="spellStart"/>
      <w:r>
        <w:rPr>
          <w:rFonts w:asciiTheme="majorHAnsi" w:hAnsiTheme="majorHAnsi"/>
        </w:rPr>
        <w:t>TongaHealth</w:t>
      </w:r>
      <w:proofErr w:type="spellEnd"/>
      <w:r>
        <w:rPr>
          <w:rFonts w:asciiTheme="majorHAnsi" w:hAnsiTheme="majorHAnsi"/>
        </w:rPr>
        <w:t xml:space="preserve"> in ‘one-on-one’ and/or group training sessions</w:t>
      </w:r>
      <w:r w:rsidR="003B5868">
        <w:rPr>
          <w:rFonts w:asciiTheme="majorHAnsi" w:hAnsiTheme="majorHAnsi"/>
        </w:rPr>
        <w:t>;</w:t>
      </w:r>
      <w:r>
        <w:rPr>
          <w:rFonts w:asciiTheme="majorHAnsi" w:hAnsiTheme="majorHAnsi"/>
        </w:rPr>
        <w:t xml:space="preserve"> but may be delivered by external consultants as required.  It is anticipated that </w:t>
      </w:r>
      <w:proofErr w:type="spellStart"/>
      <w:r>
        <w:rPr>
          <w:rFonts w:asciiTheme="majorHAnsi" w:hAnsiTheme="majorHAnsi"/>
        </w:rPr>
        <w:t>TongaHealth</w:t>
      </w:r>
      <w:proofErr w:type="spellEnd"/>
      <w:r>
        <w:rPr>
          <w:rFonts w:asciiTheme="majorHAnsi" w:hAnsiTheme="majorHAnsi"/>
        </w:rPr>
        <w:t xml:space="preserve"> will oversee partner capacity development in relation</w:t>
      </w:r>
      <w:r w:rsidR="003B5868">
        <w:rPr>
          <w:rFonts w:asciiTheme="majorHAnsi" w:hAnsiTheme="majorHAnsi"/>
        </w:rPr>
        <w:t xml:space="preserve"> to matters such as</w:t>
      </w:r>
      <w:r>
        <w:rPr>
          <w:rFonts w:asciiTheme="majorHAnsi" w:hAnsiTheme="majorHAnsi"/>
        </w:rPr>
        <w:t>:</w:t>
      </w:r>
    </w:p>
    <w:p w:rsidR="00FA49C4" w:rsidRDefault="00FA49C4" w:rsidP="00FA49C4">
      <w:pPr>
        <w:pStyle w:val="ListParagraph"/>
        <w:numPr>
          <w:ilvl w:val="0"/>
          <w:numId w:val="35"/>
        </w:numPr>
        <w:spacing w:before="60" w:after="60"/>
        <w:rPr>
          <w:rFonts w:asciiTheme="majorHAnsi" w:hAnsiTheme="majorHAnsi"/>
        </w:rPr>
      </w:pPr>
      <w:r>
        <w:rPr>
          <w:rFonts w:asciiTheme="majorHAnsi" w:hAnsiTheme="majorHAnsi"/>
        </w:rPr>
        <w:t>activity delivery;</w:t>
      </w:r>
    </w:p>
    <w:p w:rsidR="00FA49C4" w:rsidRDefault="00FA49C4" w:rsidP="00FA49C4">
      <w:pPr>
        <w:pStyle w:val="ListParagraph"/>
        <w:numPr>
          <w:ilvl w:val="0"/>
          <w:numId w:val="35"/>
        </w:numPr>
        <w:spacing w:before="60" w:after="60"/>
        <w:rPr>
          <w:rFonts w:asciiTheme="majorHAnsi" w:hAnsiTheme="majorHAnsi"/>
        </w:rPr>
      </w:pPr>
      <w:r>
        <w:rPr>
          <w:rFonts w:asciiTheme="majorHAnsi" w:hAnsiTheme="majorHAnsi"/>
        </w:rPr>
        <w:t>financial management;</w:t>
      </w:r>
    </w:p>
    <w:p w:rsidR="00FA49C4" w:rsidRDefault="00FA49C4" w:rsidP="00FA49C4">
      <w:pPr>
        <w:pStyle w:val="ListParagraph"/>
        <w:numPr>
          <w:ilvl w:val="0"/>
          <w:numId w:val="35"/>
        </w:numPr>
        <w:spacing w:before="60" w:after="60"/>
        <w:rPr>
          <w:rFonts w:asciiTheme="majorHAnsi" w:hAnsiTheme="majorHAnsi"/>
        </w:rPr>
      </w:pPr>
      <w:r>
        <w:rPr>
          <w:rFonts w:asciiTheme="majorHAnsi" w:hAnsiTheme="majorHAnsi"/>
        </w:rPr>
        <w:t>monitoring and evaluation activities and reporting;</w:t>
      </w:r>
    </w:p>
    <w:p w:rsidR="00FA49C4" w:rsidRDefault="003B5868" w:rsidP="00FA49C4">
      <w:pPr>
        <w:pStyle w:val="ListParagraph"/>
        <w:numPr>
          <w:ilvl w:val="0"/>
          <w:numId w:val="35"/>
        </w:numPr>
        <w:spacing w:before="60" w:after="60"/>
        <w:rPr>
          <w:rFonts w:asciiTheme="majorHAnsi" w:hAnsiTheme="majorHAnsi"/>
        </w:rPr>
      </w:pPr>
      <w:r>
        <w:rPr>
          <w:rFonts w:asciiTheme="majorHAnsi" w:hAnsiTheme="majorHAnsi"/>
        </w:rPr>
        <w:t>child protection; and</w:t>
      </w:r>
    </w:p>
    <w:p w:rsidR="003B5868" w:rsidRPr="00FA49C4" w:rsidRDefault="003B5868" w:rsidP="00FA49C4">
      <w:pPr>
        <w:pStyle w:val="ListParagraph"/>
        <w:numPr>
          <w:ilvl w:val="0"/>
          <w:numId w:val="35"/>
        </w:numPr>
        <w:spacing w:before="60" w:after="60"/>
        <w:rPr>
          <w:rFonts w:asciiTheme="majorHAnsi" w:hAnsiTheme="majorHAnsi"/>
        </w:rPr>
      </w:pPr>
      <w:proofErr w:type="gramStart"/>
      <w:r>
        <w:rPr>
          <w:rFonts w:asciiTheme="majorHAnsi" w:hAnsiTheme="majorHAnsi"/>
        </w:rPr>
        <w:t>anti-corruption</w:t>
      </w:r>
      <w:proofErr w:type="gramEnd"/>
      <w:r>
        <w:rPr>
          <w:rFonts w:asciiTheme="majorHAnsi" w:hAnsiTheme="majorHAnsi"/>
        </w:rPr>
        <w:t>.</w:t>
      </w:r>
    </w:p>
    <w:p w:rsidR="00D54EC7" w:rsidRDefault="00D54EC7" w:rsidP="003B5868">
      <w:pPr>
        <w:spacing w:before="60" w:after="60"/>
        <w:ind w:left="0" w:firstLine="0"/>
        <w:rPr>
          <w:rFonts w:asciiTheme="majorHAnsi" w:hAnsiTheme="majorHAnsi"/>
        </w:rPr>
      </w:pPr>
    </w:p>
    <w:p w:rsidR="0010412E" w:rsidRDefault="0010412E">
      <w:pPr>
        <w:rPr>
          <w:rFonts w:asciiTheme="majorHAnsi" w:hAnsiTheme="majorHAnsi"/>
          <w:sz w:val="18"/>
          <w:szCs w:val="18"/>
        </w:rPr>
        <w:sectPr w:rsidR="0010412E" w:rsidSect="0053356A">
          <w:headerReference w:type="default" r:id="rId8"/>
          <w:footerReference w:type="default" r:id="rId9"/>
          <w:pgSz w:w="11907" w:h="16839" w:code="9"/>
          <w:pgMar w:top="1276" w:right="1440" w:bottom="1440" w:left="1440" w:header="720" w:footer="720" w:gutter="0"/>
          <w:cols w:space="720"/>
          <w:docGrid w:linePitch="360"/>
        </w:sectPr>
      </w:pPr>
    </w:p>
    <w:p w:rsidR="0010412E" w:rsidRDefault="006B3B89" w:rsidP="0010412E">
      <w:pPr>
        <w:spacing w:before="200" w:after="200"/>
        <w:ind w:left="0" w:firstLine="0"/>
        <w:rPr>
          <w:rFonts w:asciiTheme="majorHAnsi" w:hAnsiTheme="majorHAnsi"/>
          <w:b/>
        </w:rPr>
      </w:pPr>
      <w:r>
        <w:rPr>
          <w:rFonts w:asciiTheme="majorHAnsi" w:hAnsiTheme="majorHAnsi"/>
          <w:b/>
        </w:rPr>
        <w:lastRenderedPageBreak/>
        <w:t>7</w:t>
      </w:r>
      <w:r w:rsidR="0045684B">
        <w:rPr>
          <w:rFonts w:asciiTheme="majorHAnsi" w:hAnsiTheme="majorHAnsi"/>
          <w:b/>
        </w:rPr>
        <w:t xml:space="preserve">. </w:t>
      </w:r>
      <w:r w:rsidR="00C06E2F">
        <w:rPr>
          <w:rFonts w:asciiTheme="majorHAnsi" w:hAnsiTheme="majorHAnsi"/>
          <w:b/>
        </w:rPr>
        <w:t>High-level budget FY 201</w:t>
      </w:r>
      <w:r w:rsidR="00867EFA">
        <w:rPr>
          <w:rFonts w:asciiTheme="majorHAnsi" w:hAnsiTheme="majorHAnsi"/>
          <w:b/>
        </w:rPr>
        <w:t>6</w:t>
      </w:r>
      <w:r w:rsidR="00C06E2F">
        <w:rPr>
          <w:rFonts w:asciiTheme="majorHAnsi" w:hAnsiTheme="majorHAnsi"/>
          <w:b/>
        </w:rPr>
        <w:t>-</w:t>
      </w:r>
      <w:r w:rsidR="00867EFA">
        <w:rPr>
          <w:rFonts w:asciiTheme="majorHAnsi" w:hAnsiTheme="majorHAnsi"/>
          <w:b/>
        </w:rPr>
        <w:t>17</w:t>
      </w:r>
    </w:p>
    <w:p w:rsidR="0010412E" w:rsidRDefault="0010412E" w:rsidP="0010412E">
      <w:pPr>
        <w:spacing w:before="60" w:after="60"/>
        <w:ind w:left="0" w:firstLine="0"/>
        <w:rPr>
          <w:rFonts w:asciiTheme="majorHAnsi" w:hAnsiTheme="majorHAnsi"/>
        </w:rPr>
      </w:pPr>
      <w:r>
        <w:rPr>
          <w:rFonts w:asciiTheme="majorHAnsi" w:hAnsiTheme="majorHAnsi"/>
        </w:rPr>
        <w:t>Table 2 below outlines the high-leve</w:t>
      </w:r>
      <w:r w:rsidR="00C06E2F">
        <w:rPr>
          <w:rFonts w:asciiTheme="majorHAnsi" w:hAnsiTheme="majorHAnsi"/>
        </w:rPr>
        <w:t>l budget allocation for FY 201</w:t>
      </w:r>
      <w:r w:rsidR="00867EFA">
        <w:rPr>
          <w:rFonts w:asciiTheme="majorHAnsi" w:hAnsiTheme="majorHAnsi"/>
        </w:rPr>
        <w:t>6</w:t>
      </w:r>
      <w:r w:rsidR="00C06E2F">
        <w:rPr>
          <w:rFonts w:asciiTheme="majorHAnsi" w:hAnsiTheme="majorHAnsi"/>
        </w:rPr>
        <w:t>-</w:t>
      </w:r>
      <w:r>
        <w:rPr>
          <w:rFonts w:asciiTheme="majorHAnsi" w:hAnsiTheme="majorHAnsi"/>
        </w:rPr>
        <w:t>1</w:t>
      </w:r>
      <w:r w:rsidR="00867EFA">
        <w:rPr>
          <w:rFonts w:asciiTheme="majorHAnsi" w:hAnsiTheme="majorHAnsi"/>
        </w:rPr>
        <w:t>7</w:t>
      </w:r>
      <w:r>
        <w:rPr>
          <w:rFonts w:asciiTheme="majorHAnsi" w:hAnsiTheme="majorHAnsi"/>
        </w:rPr>
        <w:t>.  The budget allocation is informed by the National NCD</w:t>
      </w:r>
      <w:r w:rsidR="00C06E2F">
        <w:rPr>
          <w:rFonts w:asciiTheme="majorHAnsi" w:hAnsiTheme="majorHAnsi"/>
        </w:rPr>
        <w:t>s Strategy 2015 – 2020.</w:t>
      </w:r>
    </w:p>
    <w:p w:rsidR="0010412E" w:rsidRDefault="0010412E" w:rsidP="0010412E">
      <w:pPr>
        <w:rPr>
          <w:rFonts w:asciiTheme="majorHAnsi" w:hAnsiTheme="majorHAnsi"/>
          <w:sz w:val="18"/>
          <w:szCs w:val="18"/>
        </w:rPr>
      </w:pPr>
      <w:proofErr w:type="gramStart"/>
      <w:r>
        <w:rPr>
          <w:rFonts w:asciiTheme="majorHAnsi" w:hAnsiTheme="majorHAnsi"/>
        </w:rPr>
        <w:t>Table 2:  High-leve</w:t>
      </w:r>
      <w:r w:rsidR="00C06E2F">
        <w:rPr>
          <w:rFonts w:asciiTheme="majorHAnsi" w:hAnsiTheme="majorHAnsi"/>
        </w:rPr>
        <w:t>l budget allocation for FY 201</w:t>
      </w:r>
      <w:r w:rsidR="00867EFA">
        <w:rPr>
          <w:rFonts w:asciiTheme="majorHAnsi" w:hAnsiTheme="majorHAnsi"/>
        </w:rPr>
        <w:t>6</w:t>
      </w:r>
      <w:r w:rsidR="00C06E2F">
        <w:rPr>
          <w:rFonts w:asciiTheme="majorHAnsi" w:hAnsiTheme="majorHAnsi"/>
        </w:rPr>
        <w:t>-</w:t>
      </w:r>
      <w:r>
        <w:rPr>
          <w:rFonts w:asciiTheme="majorHAnsi" w:hAnsiTheme="majorHAnsi"/>
        </w:rPr>
        <w:t>1</w:t>
      </w:r>
      <w:r w:rsidR="00867EFA">
        <w:rPr>
          <w:rFonts w:asciiTheme="majorHAnsi" w:hAnsiTheme="majorHAnsi"/>
        </w:rPr>
        <w:t>7</w:t>
      </w:r>
      <w:r>
        <w:rPr>
          <w:rFonts w:asciiTheme="majorHAnsi" w:hAnsiTheme="majorHAnsi"/>
        </w:rPr>
        <w:t>.</w:t>
      </w:r>
      <w:proofErr w:type="gramEnd"/>
    </w:p>
    <w:tbl>
      <w:tblPr>
        <w:tblStyle w:val="TableGrid"/>
        <w:tblW w:w="0" w:type="auto"/>
        <w:tblBorders>
          <w:top w:val="single" w:sz="4" w:space="0" w:color="008000"/>
          <w:left w:val="none" w:sz="0" w:space="0" w:color="auto"/>
          <w:bottom w:val="single" w:sz="4" w:space="0" w:color="008000"/>
          <w:right w:val="none" w:sz="0" w:space="0" w:color="auto"/>
          <w:insideH w:val="single" w:sz="4" w:space="0" w:color="008000"/>
          <w:insideV w:val="none" w:sz="0" w:space="0" w:color="auto"/>
        </w:tblBorders>
        <w:tblLook w:val="04A0" w:firstRow="1" w:lastRow="0" w:firstColumn="1" w:lastColumn="0" w:noHBand="0" w:noVBand="1"/>
      </w:tblPr>
      <w:tblGrid>
        <w:gridCol w:w="2587"/>
        <w:gridCol w:w="6404"/>
        <w:gridCol w:w="974"/>
        <w:gridCol w:w="967"/>
        <w:gridCol w:w="1084"/>
        <w:gridCol w:w="1185"/>
      </w:tblGrid>
      <w:tr w:rsidR="00867EFA" w:rsidTr="0065491E">
        <w:trPr>
          <w:cantSplit/>
          <w:tblHeader/>
        </w:trPr>
        <w:tc>
          <w:tcPr>
            <w:tcW w:w="8991" w:type="dxa"/>
            <w:gridSpan w:val="2"/>
            <w:shd w:val="clear" w:color="auto" w:fill="008000"/>
          </w:tcPr>
          <w:p w:rsidR="00867EFA" w:rsidRPr="00877B09" w:rsidRDefault="00867EFA" w:rsidP="00867EFA">
            <w:pPr>
              <w:spacing w:before="60" w:after="60"/>
              <w:ind w:left="0" w:firstLine="0"/>
              <w:rPr>
                <w:rFonts w:asciiTheme="majorHAnsi" w:hAnsiTheme="majorHAnsi"/>
                <w:b/>
                <w:color w:val="CCFFCC"/>
                <w:sz w:val="20"/>
                <w:szCs w:val="20"/>
              </w:rPr>
            </w:pPr>
            <w:r>
              <w:rPr>
                <w:rFonts w:asciiTheme="majorHAnsi" w:hAnsiTheme="majorHAnsi"/>
                <w:b/>
                <w:color w:val="CCFFCC"/>
                <w:sz w:val="20"/>
                <w:szCs w:val="20"/>
              </w:rPr>
              <w:t>High-level budget for FY 2016/17 activities</w:t>
            </w:r>
          </w:p>
        </w:tc>
        <w:tc>
          <w:tcPr>
            <w:tcW w:w="974" w:type="dxa"/>
            <w:shd w:val="clear" w:color="auto" w:fill="008000"/>
          </w:tcPr>
          <w:p w:rsidR="00867EFA" w:rsidRDefault="00867EFA" w:rsidP="00E657AE">
            <w:pPr>
              <w:spacing w:before="60" w:after="60"/>
              <w:ind w:left="0" w:firstLine="0"/>
              <w:jc w:val="center"/>
              <w:rPr>
                <w:rFonts w:asciiTheme="majorHAnsi" w:hAnsiTheme="majorHAnsi"/>
                <w:b/>
                <w:color w:val="CCFFCC"/>
                <w:sz w:val="20"/>
                <w:szCs w:val="20"/>
              </w:rPr>
            </w:pPr>
            <w:proofErr w:type="spellStart"/>
            <w:r>
              <w:rPr>
                <w:rFonts w:asciiTheme="majorHAnsi" w:hAnsiTheme="majorHAnsi"/>
                <w:b/>
                <w:color w:val="CCFFCC"/>
                <w:sz w:val="20"/>
                <w:szCs w:val="20"/>
              </w:rPr>
              <w:t>GoT</w:t>
            </w:r>
            <w:proofErr w:type="spellEnd"/>
            <w:r>
              <w:rPr>
                <w:rFonts w:asciiTheme="majorHAnsi" w:hAnsiTheme="majorHAnsi"/>
                <w:b/>
                <w:color w:val="CCFFCC"/>
                <w:sz w:val="20"/>
                <w:szCs w:val="20"/>
              </w:rPr>
              <w:t xml:space="preserve"> Funds</w:t>
            </w:r>
          </w:p>
        </w:tc>
        <w:tc>
          <w:tcPr>
            <w:tcW w:w="967" w:type="dxa"/>
            <w:shd w:val="clear" w:color="auto" w:fill="008000"/>
          </w:tcPr>
          <w:p w:rsidR="00867EFA" w:rsidRDefault="00867EFA" w:rsidP="00E657AE">
            <w:pPr>
              <w:spacing w:before="60" w:after="60"/>
              <w:ind w:left="0" w:firstLine="0"/>
              <w:jc w:val="center"/>
              <w:rPr>
                <w:rFonts w:asciiTheme="majorHAnsi" w:hAnsiTheme="majorHAnsi"/>
                <w:b/>
                <w:color w:val="CCFFCC"/>
                <w:sz w:val="20"/>
                <w:szCs w:val="20"/>
              </w:rPr>
            </w:pPr>
            <w:r>
              <w:rPr>
                <w:rFonts w:asciiTheme="majorHAnsi" w:hAnsiTheme="majorHAnsi"/>
                <w:b/>
                <w:color w:val="CCFFCC"/>
                <w:sz w:val="20"/>
                <w:szCs w:val="20"/>
              </w:rPr>
              <w:t>Dr Tapa Bequest</w:t>
            </w:r>
          </w:p>
        </w:tc>
        <w:tc>
          <w:tcPr>
            <w:tcW w:w="1084" w:type="dxa"/>
            <w:shd w:val="clear" w:color="auto" w:fill="008000"/>
          </w:tcPr>
          <w:p w:rsidR="00867EFA" w:rsidRDefault="00867EFA" w:rsidP="00867EFA">
            <w:pPr>
              <w:spacing w:before="60" w:after="60"/>
              <w:ind w:left="0" w:firstLine="0"/>
              <w:jc w:val="center"/>
              <w:rPr>
                <w:rFonts w:asciiTheme="majorHAnsi" w:hAnsiTheme="majorHAnsi"/>
                <w:b/>
                <w:color w:val="CCFFCC"/>
                <w:sz w:val="20"/>
                <w:szCs w:val="20"/>
              </w:rPr>
            </w:pPr>
            <w:r>
              <w:rPr>
                <w:rFonts w:asciiTheme="majorHAnsi" w:hAnsiTheme="majorHAnsi"/>
                <w:b/>
                <w:color w:val="CCFFCC"/>
                <w:sz w:val="20"/>
                <w:szCs w:val="20"/>
              </w:rPr>
              <w:t xml:space="preserve">DFAT </w:t>
            </w:r>
            <w:proofErr w:type="spellStart"/>
            <w:r>
              <w:rPr>
                <w:rFonts w:asciiTheme="majorHAnsi" w:hAnsiTheme="majorHAnsi"/>
                <w:b/>
                <w:color w:val="CCFFCC"/>
                <w:sz w:val="20"/>
                <w:szCs w:val="20"/>
              </w:rPr>
              <w:t>Impl</w:t>
            </w:r>
            <w:proofErr w:type="spellEnd"/>
            <w:r>
              <w:rPr>
                <w:rFonts w:asciiTheme="majorHAnsi" w:hAnsiTheme="majorHAnsi"/>
                <w:b/>
                <w:color w:val="CCFFCC"/>
                <w:sz w:val="20"/>
                <w:szCs w:val="20"/>
              </w:rPr>
              <w:t>.</w:t>
            </w:r>
          </w:p>
        </w:tc>
        <w:tc>
          <w:tcPr>
            <w:tcW w:w="1185" w:type="dxa"/>
            <w:tcBorders>
              <w:bottom w:val="single" w:sz="4" w:space="0" w:color="008000"/>
            </w:tcBorders>
            <w:shd w:val="clear" w:color="auto" w:fill="008000"/>
          </w:tcPr>
          <w:p w:rsidR="00867EFA" w:rsidRPr="00877B09" w:rsidRDefault="00867EFA" w:rsidP="00E657AE">
            <w:pPr>
              <w:spacing w:before="60" w:after="60"/>
              <w:ind w:left="0" w:firstLine="0"/>
              <w:jc w:val="center"/>
              <w:rPr>
                <w:rFonts w:asciiTheme="majorHAnsi" w:hAnsiTheme="majorHAnsi"/>
                <w:b/>
                <w:color w:val="CCFFCC"/>
                <w:sz w:val="20"/>
                <w:szCs w:val="20"/>
              </w:rPr>
            </w:pPr>
            <w:r>
              <w:rPr>
                <w:rFonts w:asciiTheme="majorHAnsi" w:hAnsiTheme="majorHAnsi"/>
                <w:b/>
                <w:color w:val="CCFFCC"/>
                <w:sz w:val="20"/>
                <w:szCs w:val="20"/>
              </w:rPr>
              <w:t>Total</w:t>
            </w:r>
          </w:p>
        </w:tc>
      </w:tr>
      <w:tr w:rsidR="00867EFA" w:rsidTr="0065491E">
        <w:trPr>
          <w:cantSplit/>
          <w:tblHeader/>
        </w:trPr>
        <w:tc>
          <w:tcPr>
            <w:tcW w:w="2587" w:type="dxa"/>
            <w:tcBorders>
              <w:right w:val="single" w:sz="4" w:space="0" w:color="008000"/>
            </w:tcBorders>
            <w:shd w:val="clear" w:color="auto" w:fill="CCFFCC"/>
          </w:tcPr>
          <w:p w:rsidR="00867EFA" w:rsidRDefault="00867EFA" w:rsidP="00BB5DB2">
            <w:pPr>
              <w:spacing w:before="60" w:after="60"/>
              <w:ind w:left="0" w:firstLine="0"/>
              <w:rPr>
                <w:rFonts w:asciiTheme="majorHAnsi" w:hAnsiTheme="majorHAnsi"/>
                <w:b/>
                <w:color w:val="008000"/>
                <w:sz w:val="20"/>
                <w:szCs w:val="20"/>
              </w:rPr>
            </w:pPr>
            <w:r>
              <w:rPr>
                <w:rFonts w:asciiTheme="majorHAnsi" w:hAnsiTheme="majorHAnsi"/>
                <w:b/>
                <w:color w:val="008000"/>
                <w:sz w:val="20"/>
                <w:szCs w:val="20"/>
              </w:rPr>
              <w:t>Business Activity</w:t>
            </w:r>
          </w:p>
        </w:tc>
        <w:tc>
          <w:tcPr>
            <w:tcW w:w="6404" w:type="dxa"/>
            <w:tcBorders>
              <w:left w:val="single" w:sz="4" w:space="0" w:color="008000"/>
            </w:tcBorders>
            <w:shd w:val="clear" w:color="auto" w:fill="CCFFCC"/>
          </w:tcPr>
          <w:p w:rsidR="00867EFA" w:rsidRPr="00563DC3" w:rsidRDefault="00867EFA" w:rsidP="001821C1">
            <w:pPr>
              <w:spacing w:before="60" w:after="60"/>
              <w:ind w:left="0" w:firstLine="0"/>
              <w:rPr>
                <w:rFonts w:asciiTheme="majorHAnsi" w:hAnsiTheme="majorHAnsi"/>
                <w:b/>
                <w:color w:val="008000"/>
                <w:sz w:val="20"/>
                <w:szCs w:val="20"/>
              </w:rPr>
            </w:pPr>
            <w:r>
              <w:rPr>
                <w:rFonts w:asciiTheme="majorHAnsi" w:hAnsiTheme="majorHAnsi"/>
                <w:b/>
                <w:color w:val="008000"/>
                <w:sz w:val="20"/>
                <w:szCs w:val="20"/>
              </w:rPr>
              <w:t>Description</w:t>
            </w:r>
          </w:p>
        </w:tc>
        <w:tc>
          <w:tcPr>
            <w:tcW w:w="974" w:type="dxa"/>
            <w:tcBorders>
              <w:left w:val="single" w:sz="4" w:space="0" w:color="008000"/>
              <w:right w:val="single" w:sz="4" w:space="0" w:color="008000"/>
            </w:tcBorders>
            <w:shd w:val="clear" w:color="auto" w:fill="CCFFCC"/>
          </w:tcPr>
          <w:p w:rsidR="00867EFA" w:rsidRPr="002349E5" w:rsidRDefault="00867EFA" w:rsidP="00E657AE">
            <w:pPr>
              <w:spacing w:before="60" w:after="60"/>
              <w:ind w:left="0" w:firstLine="0"/>
              <w:jc w:val="right"/>
              <w:rPr>
                <w:rFonts w:asciiTheme="majorHAnsi" w:hAnsiTheme="majorHAnsi"/>
                <w:b/>
                <w:color w:val="008000"/>
                <w:sz w:val="20"/>
                <w:szCs w:val="20"/>
              </w:rPr>
            </w:pPr>
            <w:r>
              <w:rPr>
                <w:rFonts w:asciiTheme="majorHAnsi" w:hAnsiTheme="majorHAnsi"/>
                <w:b/>
                <w:color w:val="008000"/>
                <w:sz w:val="20"/>
                <w:szCs w:val="20"/>
              </w:rPr>
              <w:t>(TOP)</w:t>
            </w:r>
          </w:p>
        </w:tc>
        <w:tc>
          <w:tcPr>
            <w:tcW w:w="967" w:type="dxa"/>
            <w:tcBorders>
              <w:left w:val="single" w:sz="4" w:space="0" w:color="008000"/>
            </w:tcBorders>
            <w:shd w:val="clear" w:color="auto" w:fill="CCFFCC"/>
          </w:tcPr>
          <w:p w:rsidR="00867EFA" w:rsidRPr="002349E5" w:rsidRDefault="00867EFA" w:rsidP="00E657AE">
            <w:pPr>
              <w:spacing w:before="60" w:after="60"/>
              <w:ind w:left="0" w:firstLine="0"/>
              <w:jc w:val="right"/>
              <w:rPr>
                <w:rFonts w:asciiTheme="majorHAnsi" w:hAnsiTheme="majorHAnsi"/>
                <w:b/>
                <w:color w:val="008000"/>
                <w:sz w:val="20"/>
                <w:szCs w:val="20"/>
              </w:rPr>
            </w:pPr>
            <w:r>
              <w:rPr>
                <w:rFonts w:asciiTheme="majorHAnsi" w:hAnsiTheme="majorHAnsi"/>
                <w:b/>
                <w:color w:val="008000"/>
                <w:sz w:val="20"/>
                <w:szCs w:val="20"/>
              </w:rPr>
              <w:t>(TOP)</w:t>
            </w:r>
          </w:p>
        </w:tc>
        <w:tc>
          <w:tcPr>
            <w:tcW w:w="1084" w:type="dxa"/>
            <w:tcBorders>
              <w:left w:val="single" w:sz="4" w:space="0" w:color="008000"/>
              <w:right w:val="single" w:sz="12" w:space="0" w:color="008000"/>
            </w:tcBorders>
            <w:shd w:val="clear" w:color="auto" w:fill="CCFFCC"/>
          </w:tcPr>
          <w:p w:rsidR="00867EFA" w:rsidRPr="002349E5" w:rsidRDefault="00867EFA" w:rsidP="00E657AE">
            <w:pPr>
              <w:spacing w:before="60" w:after="60"/>
              <w:ind w:left="0" w:firstLine="0"/>
              <w:jc w:val="right"/>
              <w:rPr>
                <w:rFonts w:asciiTheme="majorHAnsi" w:hAnsiTheme="majorHAnsi"/>
                <w:b/>
                <w:color w:val="008000"/>
                <w:sz w:val="20"/>
                <w:szCs w:val="20"/>
              </w:rPr>
            </w:pPr>
            <w:r>
              <w:rPr>
                <w:rFonts w:asciiTheme="majorHAnsi" w:hAnsiTheme="majorHAnsi"/>
                <w:b/>
                <w:color w:val="008000"/>
                <w:sz w:val="20"/>
                <w:szCs w:val="20"/>
              </w:rPr>
              <w:t>(TOP)</w:t>
            </w:r>
          </w:p>
        </w:tc>
        <w:tc>
          <w:tcPr>
            <w:tcW w:w="1185" w:type="dxa"/>
            <w:tcBorders>
              <w:left w:val="single" w:sz="12" w:space="0" w:color="008000"/>
            </w:tcBorders>
            <w:shd w:val="clear" w:color="auto" w:fill="CCFFCC"/>
          </w:tcPr>
          <w:p w:rsidR="00867EFA" w:rsidRPr="002349E5" w:rsidRDefault="00867EFA" w:rsidP="00E657AE">
            <w:pPr>
              <w:spacing w:before="60" w:after="60"/>
              <w:ind w:left="0" w:firstLine="0"/>
              <w:jc w:val="right"/>
              <w:rPr>
                <w:rFonts w:asciiTheme="majorHAnsi" w:hAnsiTheme="majorHAnsi"/>
                <w:b/>
                <w:color w:val="008000"/>
                <w:sz w:val="20"/>
                <w:szCs w:val="20"/>
              </w:rPr>
            </w:pPr>
            <w:r>
              <w:rPr>
                <w:rFonts w:asciiTheme="majorHAnsi" w:hAnsiTheme="majorHAnsi"/>
                <w:b/>
                <w:color w:val="008000"/>
                <w:sz w:val="20"/>
                <w:szCs w:val="20"/>
              </w:rPr>
              <w:t>(TOP)</w:t>
            </w:r>
          </w:p>
        </w:tc>
      </w:tr>
      <w:tr w:rsidR="00867EFA" w:rsidTr="0065491E">
        <w:trPr>
          <w:cantSplit/>
        </w:trPr>
        <w:tc>
          <w:tcPr>
            <w:tcW w:w="2587" w:type="dxa"/>
            <w:tcBorders>
              <w:bottom w:val="nil"/>
              <w:right w:val="single" w:sz="4" w:space="0" w:color="008000"/>
            </w:tcBorders>
            <w:shd w:val="clear" w:color="auto" w:fill="auto"/>
          </w:tcPr>
          <w:p w:rsidR="00867EFA" w:rsidRPr="001778C9" w:rsidRDefault="00867EFA" w:rsidP="00BB5DB2">
            <w:pPr>
              <w:spacing w:before="60" w:after="60"/>
              <w:ind w:left="0" w:firstLine="0"/>
              <w:rPr>
                <w:rFonts w:asciiTheme="majorHAnsi" w:hAnsiTheme="majorHAnsi"/>
                <w:sz w:val="20"/>
                <w:szCs w:val="20"/>
              </w:rPr>
            </w:pPr>
            <w:r>
              <w:rPr>
                <w:rFonts w:asciiTheme="majorHAnsi" w:hAnsiTheme="majorHAnsi"/>
                <w:sz w:val="20"/>
                <w:szCs w:val="20"/>
              </w:rPr>
              <w:t>Government of Tonga</w:t>
            </w:r>
          </w:p>
        </w:tc>
        <w:tc>
          <w:tcPr>
            <w:tcW w:w="6404" w:type="dxa"/>
            <w:tcBorders>
              <w:left w:val="single" w:sz="4" w:space="0" w:color="008000"/>
              <w:bottom w:val="nil"/>
            </w:tcBorders>
            <w:shd w:val="clear" w:color="auto" w:fill="auto"/>
          </w:tcPr>
          <w:p w:rsidR="00867EFA" w:rsidRPr="001778C9" w:rsidRDefault="00867EFA" w:rsidP="001821C1">
            <w:pPr>
              <w:spacing w:before="60" w:after="60"/>
              <w:ind w:left="0" w:firstLine="0"/>
              <w:rPr>
                <w:rFonts w:asciiTheme="majorHAnsi" w:hAnsiTheme="majorHAnsi"/>
                <w:sz w:val="20"/>
                <w:szCs w:val="20"/>
              </w:rPr>
            </w:pPr>
          </w:p>
        </w:tc>
        <w:tc>
          <w:tcPr>
            <w:tcW w:w="974" w:type="dxa"/>
            <w:tcBorders>
              <w:left w:val="single" w:sz="4" w:space="0" w:color="008000"/>
              <w:bottom w:val="nil"/>
              <w:right w:val="single" w:sz="4" w:space="0" w:color="008000"/>
            </w:tcBorders>
            <w:shd w:val="clear" w:color="auto" w:fill="auto"/>
          </w:tcPr>
          <w:p w:rsidR="00867EFA" w:rsidRPr="001778C9" w:rsidRDefault="00867EFA" w:rsidP="00E657AE">
            <w:pPr>
              <w:spacing w:before="60" w:after="60"/>
              <w:ind w:left="0" w:firstLine="0"/>
              <w:jc w:val="right"/>
              <w:rPr>
                <w:rFonts w:asciiTheme="majorHAnsi" w:hAnsiTheme="majorHAnsi"/>
                <w:sz w:val="20"/>
                <w:szCs w:val="20"/>
              </w:rPr>
            </w:pPr>
            <w:r>
              <w:rPr>
                <w:rFonts w:asciiTheme="majorHAnsi" w:hAnsiTheme="majorHAnsi"/>
                <w:sz w:val="20"/>
                <w:szCs w:val="20"/>
              </w:rPr>
              <w:t>500,000</w:t>
            </w:r>
          </w:p>
        </w:tc>
        <w:tc>
          <w:tcPr>
            <w:tcW w:w="967" w:type="dxa"/>
            <w:tcBorders>
              <w:left w:val="single" w:sz="4" w:space="0" w:color="008000"/>
              <w:bottom w:val="nil"/>
            </w:tcBorders>
            <w:shd w:val="clear" w:color="auto" w:fill="auto"/>
          </w:tcPr>
          <w:p w:rsidR="00867EFA" w:rsidRPr="001778C9"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bottom w:val="nil"/>
              <w:right w:val="single" w:sz="12" w:space="0" w:color="008000"/>
            </w:tcBorders>
          </w:tcPr>
          <w:p w:rsidR="00867EFA" w:rsidRPr="001778C9"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bottom w:val="nil"/>
            </w:tcBorders>
            <w:shd w:val="clear" w:color="auto" w:fill="auto"/>
          </w:tcPr>
          <w:p w:rsidR="00867EFA" w:rsidRPr="001778C9" w:rsidRDefault="00BE1881" w:rsidP="00E657AE">
            <w:pPr>
              <w:spacing w:before="60" w:after="60"/>
              <w:ind w:left="0" w:firstLine="0"/>
              <w:jc w:val="right"/>
              <w:rPr>
                <w:rFonts w:asciiTheme="majorHAnsi" w:hAnsiTheme="majorHAnsi"/>
                <w:sz w:val="20"/>
                <w:szCs w:val="20"/>
              </w:rPr>
            </w:pPr>
            <w:r>
              <w:rPr>
                <w:rFonts w:asciiTheme="majorHAnsi" w:hAnsiTheme="majorHAnsi"/>
                <w:sz w:val="20"/>
                <w:szCs w:val="20"/>
              </w:rPr>
              <w:t>500,000</w:t>
            </w:r>
          </w:p>
        </w:tc>
      </w:tr>
      <w:tr w:rsidR="00867EFA" w:rsidTr="0065491E">
        <w:trPr>
          <w:cantSplit/>
        </w:trPr>
        <w:tc>
          <w:tcPr>
            <w:tcW w:w="2587" w:type="dxa"/>
            <w:tcBorders>
              <w:top w:val="nil"/>
              <w:bottom w:val="nil"/>
              <w:right w:val="single" w:sz="4" w:space="0" w:color="008000"/>
            </w:tcBorders>
            <w:shd w:val="clear" w:color="auto" w:fill="auto"/>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DFAT</w:t>
            </w:r>
          </w:p>
        </w:tc>
        <w:tc>
          <w:tcPr>
            <w:tcW w:w="6404" w:type="dxa"/>
            <w:tcBorders>
              <w:top w:val="nil"/>
              <w:left w:val="single" w:sz="4" w:space="0" w:color="008000"/>
              <w:bottom w:val="nil"/>
            </w:tcBorders>
            <w:shd w:val="clear" w:color="auto" w:fill="auto"/>
          </w:tcPr>
          <w:p w:rsidR="00867EFA" w:rsidRPr="001778C9" w:rsidRDefault="00867EFA" w:rsidP="001821C1">
            <w:pPr>
              <w:spacing w:before="60" w:after="60"/>
              <w:ind w:left="0" w:firstLine="0"/>
              <w:rPr>
                <w:rFonts w:asciiTheme="majorHAnsi" w:hAnsiTheme="majorHAnsi"/>
                <w:sz w:val="20"/>
                <w:szCs w:val="20"/>
              </w:rPr>
            </w:pPr>
          </w:p>
        </w:tc>
        <w:tc>
          <w:tcPr>
            <w:tcW w:w="974" w:type="dxa"/>
            <w:tcBorders>
              <w:top w:val="nil"/>
              <w:left w:val="single" w:sz="4" w:space="0" w:color="008000"/>
              <w:bottom w:val="nil"/>
              <w:right w:val="single" w:sz="4" w:space="0" w:color="008000"/>
            </w:tcBorders>
            <w:shd w:val="clear" w:color="auto" w:fill="auto"/>
          </w:tcPr>
          <w:p w:rsidR="00867EFA" w:rsidRPr="001778C9" w:rsidRDefault="00867EFA" w:rsidP="00E657AE">
            <w:pPr>
              <w:spacing w:before="60" w:after="60"/>
              <w:ind w:left="0" w:firstLine="0"/>
              <w:jc w:val="right"/>
              <w:rPr>
                <w:rFonts w:asciiTheme="majorHAnsi" w:hAnsiTheme="majorHAnsi"/>
                <w:sz w:val="20"/>
                <w:szCs w:val="20"/>
              </w:rPr>
            </w:pPr>
          </w:p>
        </w:tc>
        <w:tc>
          <w:tcPr>
            <w:tcW w:w="967" w:type="dxa"/>
            <w:tcBorders>
              <w:top w:val="nil"/>
              <w:left w:val="single" w:sz="4" w:space="0" w:color="008000"/>
              <w:bottom w:val="nil"/>
            </w:tcBorders>
            <w:shd w:val="clear" w:color="auto" w:fill="auto"/>
          </w:tcPr>
          <w:p w:rsidR="00867EFA" w:rsidRPr="001778C9" w:rsidRDefault="00867EFA" w:rsidP="00E657AE">
            <w:pPr>
              <w:spacing w:before="60" w:after="60"/>
              <w:ind w:left="0" w:firstLine="0"/>
              <w:jc w:val="right"/>
              <w:rPr>
                <w:rFonts w:asciiTheme="majorHAnsi" w:hAnsiTheme="majorHAnsi"/>
                <w:sz w:val="20"/>
                <w:szCs w:val="20"/>
              </w:rPr>
            </w:pPr>
          </w:p>
        </w:tc>
        <w:tc>
          <w:tcPr>
            <w:tcW w:w="1084" w:type="dxa"/>
            <w:tcBorders>
              <w:top w:val="nil"/>
              <w:left w:val="single" w:sz="4" w:space="0" w:color="008000"/>
              <w:bottom w:val="nil"/>
              <w:right w:val="single" w:sz="12" w:space="0" w:color="008000"/>
            </w:tcBorders>
          </w:tcPr>
          <w:p w:rsidR="00867EFA" w:rsidRPr="001778C9" w:rsidRDefault="00BE1881" w:rsidP="00E657AE">
            <w:pPr>
              <w:spacing w:before="60" w:after="60"/>
              <w:ind w:left="0" w:firstLine="0"/>
              <w:jc w:val="right"/>
              <w:rPr>
                <w:rFonts w:asciiTheme="majorHAnsi" w:hAnsiTheme="majorHAnsi"/>
                <w:sz w:val="20"/>
                <w:szCs w:val="20"/>
              </w:rPr>
            </w:pPr>
            <w:r>
              <w:rPr>
                <w:rFonts w:asciiTheme="majorHAnsi" w:hAnsiTheme="majorHAnsi"/>
                <w:sz w:val="20"/>
                <w:szCs w:val="20"/>
              </w:rPr>
              <w:t>666,556</w:t>
            </w:r>
          </w:p>
        </w:tc>
        <w:tc>
          <w:tcPr>
            <w:tcW w:w="1185" w:type="dxa"/>
            <w:tcBorders>
              <w:top w:val="nil"/>
              <w:left w:val="single" w:sz="12" w:space="0" w:color="008000"/>
              <w:bottom w:val="nil"/>
            </w:tcBorders>
            <w:shd w:val="clear" w:color="auto" w:fill="auto"/>
          </w:tcPr>
          <w:p w:rsidR="00867EFA" w:rsidRPr="001778C9" w:rsidRDefault="00BE1881" w:rsidP="002B3EBE">
            <w:pPr>
              <w:spacing w:before="60" w:after="60"/>
              <w:ind w:left="0" w:firstLine="0"/>
              <w:jc w:val="right"/>
              <w:rPr>
                <w:rFonts w:asciiTheme="majorHAnsi" w:hAnsiTheme="majorHAnsi"/>
                <w:sz w:val="20"/>
                <w:szCs w:val="20"/>
              </w:rPr>
            </w:pPr>
            <w:r>
              <w:rPr>
                <w:rFonts w:asciiTheme="majorHAnsi" w:hAnsiTheme="majorHAnsi"/>
                <w:sz w:val="20"/>
                <w:szCs w:val="20"/>
              </w:rPr>
              <w:t>666,556</w:t>
            </w:r>
          </w:p>
        </w:tc>
      </w:tr>
      <w:tr w:rsidR="00867EFA" w:rsidTr="0065491E">
        <w:trPr>
          <w:cantSplit/>
        </w:trPr>
        <w:tc>
          <w:tcPr>
            <w:tcW w:w="2587" w:type="dxa"/>
            <w:tcBorders>
              <w:top w:val="nil"/>
              <w:bottom w:val="single" w:sz="12" w:space="0" w:color="008000"/>
              <w:right w:val="single" w:sz="4" w:space="0" w:color="008000"/>
            </w:tcBorders>
            <w:shd w:val="clear" w:color="auto" w:fill="auto"/>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Investment Income</w:t>
            </w:r>
          </w:p>
        </w:tc>
        <w:tc>
          <w:tcPr>
            <w:tcW w:w="6404" w:type="dxa"/>
            <w:tcBorders>
              <w:top w:val="nil"/>
              <w:left w:val="single" w:sz="4" w:space="0" w:color="008000"/>
              <w:bottom w:val="single" w:sz="12" w:space="0" w:color="008000"/>
            </w:tcBorders>
            <w:shd w:val="clear" w:color="auto" w:fill="auto"/>
          </w:tcPr>
          <w:p w:rsidR="00867EFA" w:rsidRPr="001778C9" w:rsidRDefault="00867EFA" w:rsidP="001821C1">
            <w:pPr>
              <w:spacing w:before="60" w:after="60"/>
              <w:ind w:left="0" w:firstLine="0"/>
              <w:rPr>
                <w:rFonts w:asciiTheme="majorHAnsi" w:hAnsiTheme="majorHAnsi"/>
                <w:sz w:val="20"/>
                <w:szCs w:val="20"/>
              </w:rPr>
            </w:pPr>
          </w:p>
        </w:tc>
        <w:tc>
          <w:tcPr>
            <w:tcW w:w="974" w:type="dxa"/>
            <w:tcBorders>
              <w:top w:val="nil"/>
              <w:left w:val="single" w:sz="4" w:space="0" w:color="008000"/>
              <w:bottom w:val="single" w:sz="12" w:space="0" w:color="008000"/>
              <w:right w:val="single" w:sz="4" w:space="0" w:color="008000"/>
            </w:tcBorders>
            <w:shd w:val="clear" w:color="auto" w:fill="auto"/>
          </w:tcPr>
          <w:p w:rsidR="00867EFA" w:rsidRPr="001778C9" w:rsidRDefault="00867EFA" w:rsidP="00E657AE">
            <w:pPr>
              <w:spacing w:before="60" w:after="60"/>
              <w:ind w:left="0" w:firstLine="0"/>
              <w:jc w:val="right"/>
              <w:rPr>
                <w:rFonts w:asciiTheme="majorHAnsi" w:hAnsiTheme="majorHAnsi"/>
                <w:sz w:val="20"/>
                <w:szCs w:val="20"/>
              </w:rPr>
            </w:pPr>
          </w:p>
        </w:tc>
        <w:tc>
          <w:tcPr>
            <w:tcW w:w="967" w:type="dxa"/>
            <w:tcBorders>
              <w:top w:val="nil"/>
              <w:left w:val="single" w:sz="4" w:space="0" w:color="008000"/>
              <w:bottom w:val="single" w:sz="12" w:space="0" w:color="008000"/>
            </w:tcBorders>
            <w:shd w:val="clear" w:color="auto" w:fill="auto"/>
          </w:tcPr>
          <w:p w:rsidR="00867EFA" w:rsidRPr="001778C9" w:rsidRDefault="00BE1881" w:rsidP="00E657AE">
            <w:pPr>
              <w:spacing w:before="60" w:after="60"/>
              <w:ind w:left="0" w:firstLine="0"/>
              <w:jc w:val="right"/>
              <w:rPr>
                <w:rFonts w:asciiTheme="majorHAnsi" w:hAnsiTheme="majorHAnsi"/>
                <w:sz w:val="20"/>
                <w:szCs w:val="20"/>
              </w:rPr>
            </w:pPr>
            <w:r>
              <w:rPr>
                <w:rFonts w:asciiTheme="majorHAnsi" w:hAnsiTheme="majorHAnsi"/>
                <w:sz w:val="20"/>
                <w:szCs w:val="20"/>
              </w:rPr>
              <w:t>60,260</w:t>
            </w:r>
          </w:p>
        </w:tc>
        <w:tc>
          <w:tcPr>
            <w:tcW w:w="1084" w:type="dxa"/>
            <w:tcBorders>
              <w:top w:val="nil"/>
              <w:left w:val="single" w:sz="4" w:space="0" w:color="008000"/>
              <w:bottom w:val="single" w:sz="12" w:space="0" w:color="008000"/>
              <w:right w:val="single" w:sz="12" w:space="0" w:color="008000"/>
            </w:tcBorders>
          </w:tcPr>
          <w:p w:rsidR="00867EFA" w:rsidRPr="001778C9" w:rsidRDefault="00867EFA" w:rsidP="00E657AE">
            <w:pPr>
              <w:spacing w:before="60" w:after="60"/>
              <w:ind w:left="0" w:firstLine="0"/>
              <w:jc w:val="right"/>
              <w:rPr>
                <w:rFonts w:asciiTheme="majorHAnsi" w:hAnsiTheme="majorHAnsi"/>
                <w:sz w:val="20"/>
                <w:szCs w:val="20"/>
              </w:rPr>
            </w:pPr>
          </w:p>
        </w:tc>
        <w:tc>
          <w:tcPr>
            <w:tcW w:w="1185" w:type="dxa"/>
            <w:tcBorders>
              <w:top w:val="nil"/>
              <w:left w:val="single" w:sz="12" w:space="0" w:color="008000"/>
              <w:bottom w:val="single" w:sz="12" w:space="0" w:color="008000"/>
            </w:tcBorders>
            <w:shd w:val="clear" w:color="auto" w:fill="auto"/>
          </w:tcPr>
          <w:p w:rsidR="00867EFA" w:rsidRPr="001778C9" w:rsidRDefault="00E60D84" w:rsidP="00E657AE">
            <w:pPr>
              <w:spacing w:before="60" w:after="60"/>
              <w:ind w:left="0" w:firstLine="0"/>
              <w:jc w:val="right"/>
              <w:rPr>
                <w:rFonts w:asciiTheme="majorHAnsi" w:hAnsiTheme="majorHAnsi"/>
                <w:sz w:val="20"/>
                <w:szCs w:val="20"/>
              </w:rPr>
            </w:pPr>
            <w:r>
              <w:rPr>
                <w:rFonts w:asciiTheme="majorHAnsi" w:hAnsiTheme="majorHAnsi"/>
                <w:sz w:val="20"/>
                <w:szCs w:val="20"/>
              </w:rPr>
              <w:t>60,26</w:t>
            </w:r>
            <w:r w:rsidR="00867EFA">
              <w:rPr>
                <w:rFonts w:asciiTheme="majorHAnsi" w:hAnsiTheme="majorHAnsi"/>
                <w:sz w:val="20"/>
                <w:szCs w:val="20"/>
              </w:rPr>
              <w:t>0</w:t>
            </w:r>
          </w:p>
        </w:tc>
      </w:tr>
      <w:tr w:rsidR="00867EFA" w:rsidTr="0065491E">
        <w:trPr>
          <w:cantSplit/>
        </w:trPr>
        <w:tc>
          <w:tcPr>
            <w:tcW w:w="2587" w:type="dxa"/>
            <w:tcBorders>
              <w:top w:val="single" w:sz="12" w:space="0" w:color="008000"/>
              <w:bottom w:val="single" w:sz="12" w:space="0" w:color="008000"/>
              <w:right w:val="single" w:sz="4" w:space="0" w:color="008000"/>
            </w:tcBorders>
            <w:shd w:val="clear" w:color="auto" w:fill="auto"/>
          </w:tcPr>
          <w:p w:rsidR="00867EFA" w:rsidRPr="007A3C19" w:rsidRDefault="00867EFA" w:rsidP="00BB5DB2">
            <w:pPr>
              <w:spacing w:before="60" w:after="60"/>
              <w:ind w:left="0" w:firstLine="0"/>
              <w:rPr>
                <w:rFonts w:asciiTheme="majorHAnsi" w:hAnsiTheme="majorHAnsi"/>
                <w:b/>
                <w:sz w:val="20"/>
                <w:szCs w:val="20"/>
              </w:rPr>
            </w:pPr>
            <w:r w:rsidRPr="007A3C19">
              <w:rPr>
                <w:rFonts w:asciiTheme="majorHAnsi" w:hAnsiTheme="majorHAnsi"/>
                <w:b/>
                <w:sz w:val="20"/>
                <w:szCs w:val="20"/>
              </w:rPr>
              <w:t>Total Income</w:t>
            </w:r>
          </w:p>
        </w:tc>
        <w:tc>
          <w:tcPr>
            <w:tcW w:w="6404" w:type="dxa"/>
            <w:tcBorders>
              <w:top w:val="single" w:sz="12" w:space="0" w:color="008000"/>
              <w:left w:val="single" w:sz="4" w:space="0" w:color="008000"/>
              <w:bottom w:val="single" w:sz="12" w:space="0" w:color="008000"/>
            </w:tcBorders>
            <w:shd w:val="clear" w:color="auto" w:fill="auto"/>
          </w:tcPr>
          <w:p w:rsidR="00867EFA" w:rsidRPr="007A3C19" w:rsidRDefault="00867EFA" w:rsidP="001821C1">
            <w:pPr>
              <w:spacing w:before="60" w:after="60"/>
              <w:ind w:left="0" w:firstLine="0"/>
              <w:rPr>
                <w:rFonts w:asciiTheme="majorHAnsi" w:hAnsiTheme="majorHAnsi"/>
                <w:b/>
                <w:sz w:val="20"/>
                <w:szCs w:val="20"/>
              </w:rPr>
            </w:pPr>
          </w:p>
        </w:tc>
        <w:tc>
          <w:tcPr>
            <w:tcW w:w="974" w:type="dxa"/>
            <w:tcBorders>
              <w:top w:val="single" w:sz="12" w:space="0" w:color="008000"/>
              <w:left w:val="single" w:sz="4" w:space="0" w:color="008000"/>
              <w:bottom w:val="single" w:sz="12" w:space="0" w:color="008000"/>
              <w:right w:val="single" w:sz="4" w:space="0" w:color="008000"/>
            </w:tcBorders>
            <w:shd w:val="clear" w:color="auto" w:fill="auto"/>
          </w:tcPr>
          <w:p w:rsidR="00867EFA" w:rsidRPr="007A3C19" w:rsidRDefault="00867EFA" w:rsidP="00E657AE">
            <w:pPr>
              <w:spacing w:before="60" w:after="60"/>
              <w:ind w:left="0" w:firstLine="0"/>
              <w:jc w:val="right"/>
              <w:rPr>
                <w:rFonts w:asciiTheme="majorHAnsi" w:hAnsiTheme="majorHAnsi"/>
                <w:b/>
                <w:sz w:val="20"/>
                <w:szCs w:val="20"/>
              </w:rPr>
            </w:pPr>
            <w:r>
              <w:rPr>
                <w:rFonts w:asciiTheme="majorHAnsi" w:hAnsiTheme="majorHAnsi"/>
                <w:b/>
                <w:sz w:val="20"/>
                <w:szCs w:val="20"/>
              </w:rPr>
              <w:t>500,000</w:t>
            </w:r>
          </w:p>
        </w:tc>
        <w:tc>
          <w:tcPr>
            <w:tcW w:w="967" w:type="dxa"/>
            <w:tcBorders>
              <w:top w:val="single" w:sz="12" w:space="0" w:color="008000"/>
              <w:left w:val="single" w:sz="4" w:space="0" w:color="008000"/>
              <w:bottom w:val="single" w:sz="12" w:space="0" w:color="008000"/>
            </w:tcBorders>
            <w:shd w:val="clear" w:color="auto" w:fill="auto"/>
          </w:tcPr>
          <w:p w:rsidR="00867EFA" w:rsidRPr="007A3C19" w:rsidRDefault="00BE1881" w:rsidP="00E657AE">
            <w:pPr>
              <w:spacing w:before="60" w:after="60"/>
              <w:ind w:left="0" w:firstLine="0"/>
              <w:jc w:val="right"/>
              <w:rPr>
                <w:rFonts w:asciiTheme="majorHAnsi" w:hAnsiTheme="majorHAnsi"/>
                <w:b/>
                <w:sz w:val="20"/>
                <w:szCs w:val="20"/>
              </w:rPr>
            </w:pPr>
            <w:r>
              <w:rPr>
                <w:rFonts w:asciiTheme="majorHAnsi" w:hAnsiTheme="majorHAnsi"/>
                <w:b/>
                <w:sz w:val="20"/>
                <w:szCs w:val="20"/>
              </w:rPr>
              <w:t>60,260</w:t>
            </w:r>
          </w:p>
        </w:tc>
        <w:tc>
          <w:tcPr>
            <w:tcW w:w="1084" w:type="dxa"/>
            <w:tcBorders>
              <w:top w:val="single" w:sz="12" w:space="0" w:color="008000"/>
              <w:left w:val="single" w:sz="4" w:space="0" w:color="008000"/>
              <w:bottom w:val="single" w:sz="12" w:space="0" w:color="008000"/>
              <w:right w:val="single" w:sz="12" w:space="0" w:color="008000"/>
            </w:tcBorders>
          </w:tcPr>
          <w:p w:rsidR="00867EFA" w:rsidRPr="007A3C19" w:rsidRDefault="00BE1881" w:rsidP="00E657AE">
            <w:pPr>
              <w:spacing w:before="60" w:after="60"/>
              <w:ind w:left="0" w:firstLine="0"/>
              <w:jc w:val="right"/>
              <w:rPr>
                <w:rFonts w:asciiTheme="majorHAnsi" w:hAnsiTheme="majorHAnsi"/>
                <w:b/>
                <w:sz w:val="20"/>
                <w:szCs w:val="20"/>
              </w:rPr>
            </w:pPr>
            <w:r>
              <w:rPr>
                <w:rFonts w:asciiTheme="majorHAnsi" w:hAnsiTheme="majorHAnsi"/>
                <w:b/>
                <w:sz w:val="20"/>
                <w:szCs w:val="20"/>
              </w:rPr>
              <w:t>666,556</w:t>
            </w:r>
          </w:p>
        </w:tc>
        <w:tc>
          <w:tcPr>
            <w:tcW w:w="1185" w:type="dxa"/>
            <w:tcBorders>
              <w:top w:val="single" w:sz="12" w:space="0" w:color="008000"/>
              <w:left w:val="single" w:sz="12" w:space="0" w:color="008000"/>
              <w:bottom w:val="single" w:sz="12" w:space="0" w:color="008000"/>
            </w:tcBorders>
            <w:shd w:val="clear" w:color="auto" w:fill="auto"/>
          </w:tcPr>
          <w:p w:rsidR="00867EFA" w:rsidRPr="007A3C19" w:rsidRDefault="00E60D84" w:rsidP="00E60D84">
            <w:pPr>
              <w:spacing w:before="60" w:after="60"/>
              <w:ind w:left="0" w:firstLine="0"/>
              <w:jc w:val="right"/>
              <w:rPr>
                <w:rFonts w:asciiTheme="majorHAnsi" w:hAnsiTheme="majorHAnsi"/>
                <w:b/>
                <w:sz w:val="20"/>
                <w:szCs w:val="20"/>
              </w:rPr>
            </w:pPr>
            <w:r>
              <w:rPr>
                <w:rFonts w:asciiTheme="majorHAnsi" w:hAnsiTheme="majorHAnsi"/>
                <w:b/>
                <w:sz w:val="20"/>
                <w:szCs w:val="20"/>
              </w:rPr>
              <w:t>1,226,816</w:t>
            </w:r>
          </w:p>
        </w:tc>
      </w:tr>
      <w:tr w:rsidR="00867EFA" w:rsidRPr="00E60D84" w:rsidTr="0065491E">
        <w:trPr>
          <w:cantSplit/>
        </w:trPr>
        <w:tc>
          <w:tcPr>
            <w:tcW w:w="2587" w:type="dxa"/>
            <w:tcBorders>
              <w:top w:val="single" w:sz="4" w:space="0" w:color="008000"/>
              <w:bottom w:val="single" w:sz="4" w:space="0" w:color="008000"/>
              <w:right w:val="single" w:sz="4" w:space="0" w:color="008000"/>
            </w:tcBorders>
          </w:tcPr>
          <w:p w:rsidR="00867EFA" w:rsidRDefault="00867EFA" w:rsidP="00CD5269">
            <w:pPr>
              <w:spacing w:before="60" w:after="60"/>
              <w:ind w:left="0" w:firstLine="0"/>
              <w:rPr>
                <w:rFonts w:asciiTheme="majorHAnsi" w:hAnsiTheme="majorHAnsi"/>
                <w:sz w:val="20"/>
                <w:szCs w:val="20"/>
              </w:rPr>
            </w:pPr>
            <w:r>
              <w:rPr>
                <w:rFonts w:asciiTheme="majorHAnsi" w:hAnsiTheme="majorHAnsi"/>
                <w:sz w:val="20"/>
                <w:szCs w:val="20"/>
              </w:rPr>
              <w:t>Capacity Development</w:t>
            </w:r>
            <w:r w:rsidR="00CD5269">
              <w:rPr>
                <w:rFonts w:asciiTheme="majorHAnsi" w:hAnsiTheme="majorHAnsi"/>
                <w:sz w:val="20"/>
                <w:szCs w:val="20"/>
              </w:rPr>
              <w:t xml:space="preserve"> Plan implementation</w:t>
            </w:r>
          </w:p>
        </w:tc>
        <w:tc>
          <w:tcPr>
            <w:tcW w:w="6404" w:type="dxa"/>
            <w:tcBorders>
              <w:top w:val="single" w:sz="4" w:space="0" w:color="008000"/>
              <w:left w:val="single" w:sz="4" w:space="0" w:color="008000"/>
              <w:bottom w:val="single" w:sz="4" w:space="0" w:color="008000"/>
            </w:tcBorders>
          </w:tcPr>
          <w:p w:rsidR="00867EFA" w:rsidRPr="0045161B" w:rsidRDefault="00867EFA" w:rsidP="0045161B">
            <w:pPr>
              <w:pStyle w:val="ListParagraph"/>
              <w:numPr>
                <w:ilvl w:val="0"/>
                <w:numId w:val="38"/>
              </w:numPr>
              <w:spacing w:before="60" w:after="60"/>
              <w:ind w:left="360"/>
              <w:rPr>
                <w:rFonts w:asciiTheme="majorHAnsi" w:hAnsiTheme="majorHAnsi"/>
                <w:sz w:val="20"/>
                <w:szCs w:val="20"/>
              </w:rPr>
            </w:pPr>
            <w:r>
              <w:rPr>
                <w:rFonts w:asciiTheme="majorHAnsi" w:hAnsiTheme="majorHAnsi"/>
                <w:sz w:val="20"/>
                <w:szCs w:val="20"/>
              </w:rPr>
              <w:t>Develop multi-year plan and budget for ongoing organisational capacity development</w:t>
            </w:r>
            <w:r w:rsidR="00CD5269">
              <w:rPr>
                <w:rFonts w:asciiTheme="majorHAnsi" w:hAnsiTheme="majorHAnsi"/>
                <w:sz w:val="20"/>
                <w:szCs w:val="20"/>
              </w:rPr>
              <w:t xml:space="preserve"> then implement</w:t>
            </w:r>
            <w:r>
              <w:rPr>
                <w:rFonts w:asciiTheme="majorHAnsi" w:hAnsiTheme="majorHAnsi"/>
                <w:sz w:val="20"/>
                <w:szCs w:val="20"/>
              </w:rPr>
              <w:t>.</w:t>
            </w:r>
          </w:p>
        </w:tc>
        <w:tc>
          <w:tcPr>
            <w:tcW w:w="974" w:type="dxa"/>
            <w:tcBorders>
              <w:top w:val="single" w:sz="4" w:space="0" w:color="008000"/>
              <w:left w:val="single" w:sz="4" w:space="0" w:color="008000"/>
              <w:bottom w:val="single" w:sz="4" w:space="0" w:color="008000"/>
              <w:right w:val="single" w:sz="4" w:space="0" w:color="008000"/>
            </w:tcBorders>
          </w:tcPr>
          <w:p w:rsidR="00867EFA" w:rsidRPr="00862B1F" w:rsidRDefault="00867EFA" w:rsidP="00E657AE">
            <w:pPr>
              <w:spacing w:before="60" w:after="60"/>
              <w:ind w:left="0" w:firstLine="0"/>
              <w:jc w:val="right"/>
              <w:rPr>
                <w:rFonts w:asciiTheme="majorHAnsi" w:hAnsiTheme="majorHAnsi"/>
                <w:sz w:val="20"/>
                <w:szCs w:val="20"/>
              </w:rPr>
            </w:pPr>
          </w:p>
        </w:tc>
        <w:tc>
          <w:tcPr>
            <w:tcW w:w="967" w:type="dxa"/>
            <w:tcBorders>
              <w:top w:val="single" w:sz="4" w:space="0" w:color="008000"/>
              <w:left w:val="single" w:sz="4" w:space="0" w:color="008000"/>
              <w:bottom w:val="single" w:sz="4" w:space="0" w:color="008000"/>
            </w:tcBorders>
          </w:tcPr>
          <w:p w:rsidR="00867EFA" w:rsidRPr="00862B1F" w:rsidRDefault="00EC707E" w:rsidP="00E657AE">
            <w:pPr>
              <w:spacing w:before="60" w:after="60"/>
              <w:ind w:left="0" w:firstLine="0"/>
              <w:jc w:val="right"/>
              <w:rPr>
                <w:rFonts w:asciiTheme="majorHAnsi" w:hAnsiTheme="majorHAnsi"/>
                <w:sz w:val="20"/>
                <w:szCs w:val="20"/>
              </w:rPr>
            </w:pPr>
            <w:r>
              <w:rPr>
                <w:rFonts w:asciiTheme="majorHAnsi" w:hAnsiTheme="majorHAnsi"/>
                <w:sz w:val="20"/>
                <w:szCs w:val="20"/>
              </w:rPr>
              <w:t>12,000</w:t>
            </w:r>
          </w:p>
        </w:tc>
        <w:tc>
          <w:tcPr>
            <w:tcW w:w="1084" w:type="dxa"/>
            <w:tcBorders>
              <w:top w:val="single" w:sz="4" w:space="0" w:color="008000"/>
              <w:left w:val="single" w:sz="4" w:space="0" w:color="008000"/>
              <w:bottom w:val="single" w:sz="4" w:space="0" w:color="008000"/>
              <w:right w:val="single" w:sz="12" w:space="0" w:color="008000"/>
            </w:tcBorders>
          </w:tcPr>
          <w:p w:rsidR="00867EFA" w:rsidRPr="00862B1F" w:rsidRDefault="00867EFA" w:rsidP="00E657AE">
            <w:pPr>
              <w:spacing w:before="60" w:after="60"/>
              <w:ind w:left="0" w:firstLine="0"/>
              <w:jc w:val="right"/>
              <w:rPr>
                <w:rFonts w:asciiTheme="majorHAnsi" w:hAnsiTheme="majorHAnsi"/>
                <w:sz w:val="20"/>
                <w:szCs w:val="20"/>
              </w:rPr>
            </w:pPr>
          </w:p>
        </w:tc>
        <w:tc>
          <w:tcPr>
            <w:tcW w:w="1185" w:type="dxa"/>
            <w:tcBorders>
              <w:top w:val="single" w:sz="4" w:space="0" w:color="008000"/>
              <w:left w:val="single" w:sz="12" w:space="0" w:color="008000"/>
              <w:bottom w:val="single" w:sz="4" w:space="0" w:color="008000"/>
            </w:tcBorders>
          </w:tcPr>
          <w:p w:rsidR="00867EFA" w:rsidRPr="00E60D84" w:rsidRDefault="00867EFA" w:rsidP="00E60D84">
            <w:pPr>
              <w:spacing w:before="60" w:after="60"/>
              <w:ind w:left="0" w:firstLine="0"/>
              <w:jc w:val="right"/>
              <w:rPr>
                <w:rFonts w:asciiTheme="majorHAnsi" w:hAnsiTheme="majorHAnsi"/>
                <w:sz w:val="20"/>
                <w:szCs w:val="20"/>
                <w:highlight w:val="yellow"/>
              </w:rPr>
            </w:pPr>
          </w:p>
        </w:tc>
      </w:tr>
      <w:tr w:rsidR="00867EFA" w:rsidTr="0065491E">
        <w:trPr>
          <w:cantSplit/>
        </w:trPr>
        <w:tc>
          <w:tcPr>
            <w:tcW w:w="2587" w:type="dxa"/>
            <w:tcBorders>
              <w:right w:val="single" w:sz="4" w:space="0" w:color="008000"/>
            </w:tcBorders>
          </w:tcPr>
          <w:p w:rsidR="00867EFA"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t>Grants for strategy 1.1</w:t>
            </w:r>
            <w:r>
              <w:rPr>
                <w:rFonts w:asciiTheme="majorHAnsi" w:hAnsiTheme="majorHAnsi"/>
                <w:sz w:val="20"/>
                <w:szCs w:val="20"/>
              </w:rPr>
              <w:t xml:space="preserve"> (h</w:t>
            </w:r>
            <w:r w:rsidRPr="00D54EC7">
              <w:rPr>
                <w:rFonts w:asciiTheme="majorHAnsi" w:hAnsiTheme="majorHAnsi"/>
                <w:sz w:val="20"/>
                <w:szCs w:val="20"/>
              </w:rPr>
              <w:t>alt the number of babies exposed to the risks associated with being born to a mother with diabete</w:t>
            </w:r>
            <w:r>
              <w:rPr>
                <w:rFonts w:asciiTheme="majorHAnsi" w:hAnsiTheme="majorHAnsi"/>
                <w:sz w:val="20"/>
                <w:szCs w:val="20"/>
              </w:rPr>
              <w:t>s).</w:t>
            </w:r>
          </w:p>
          <w:p w:rsidR="00867EFA" w:rsidRPr="00D54EC7"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t>Grants for strategy 1.2</w:t>
            </w:r>
            <w:r>
              <w:rPr>
                <w:rFonts w:asciiTheme="majorHAnsi" w:hAnsiTheme="majorHAnsi"/>
                <w:sz w:val="20"/>
                <w:szCs w:val="20"/>
              </w:rPr>
              <w:t xml:space="preserve"> (i</w:t>
            </w:r>
            <w:r w:rsidRPr="00D54EC7">
              <w:rPr>
                <w:rFonts w:asciiTheme="majorHAnsi" w:hAnsiTheme="majorHAnsi"/>
                <w:sz w:val="20"/>
                <w:szCs w:val="20"/>
              </w:rPr>
              <w:t>mprove infant and toddler nutrition</w:t>
            </w:r>
            <w:r>
              <w:rPr>
                <w:rFonts w:asciiTheme="majorHAnsi" w:hAnsiTheme="majorHAnsi"/>
                <w:sz w:val="20"/>
                <w:szCs w:val="20"/>
              </w:rPr>
              <w:t>).</w:t>
            </w:r>
          </w:p>
        </w:tc>
        <w:tc>
          <w:tcPr>
            <w:tcW w:w="6404" w:type="dxa"/>
            <w:tcBorders>
              <w:left w:val="single" w:sz="4" w:space="0" w:color="008000"/>
            </w:tcBorders>
          </w:tcPr>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 xml:space="preserve">Implement the ‘First 1,000’ </w:t>
            </w:r>
            <w:proofErr w:type="gramStart"/>
            <w:r>
              <w:rPr>
                <w:rFonts w:asciiTheme="majorHAnsi" w:hAnsiTheme="majorHAnsi"/>
                <w:sz w:val="20"/>
                <w:szCs w:val="20"/>
              </w:rPr>
              <w:t>days</w:t>
            </w:r>
            <w:proofErr w:type="gramEnd"/>
            <w:r>
              <w:rPr>
                <w:rFonts w:asciiTheme="majorHAnsi" w:hAnsiTheme="majorHAnsi"/>
                <w:sz w:val="20"/>
                <w:szCs w:val="20"/>
              </w:rPr>
              <w:t xml:space="preserve"> program.</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Clinical management of pregnant women with, or at risk, of diabetes.</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I</w:t>
            </w:r>
            <w:r w:rsidRPr="00BB5DB2">
              <w:rPr>
                <w:rFonts w:asciiTheme="majorHAnsi" w:hAnsiTheme="majorHAnsi"/>
                <w:sz w:val="20"/>
                <w:szCs w:val="20"/>
              </w:rPr>
              <w:t>nterventions support women to maintain a healthier weight</w:t>
            </w:r>
            <w:r>
              <w:rPr>
                <w:rFonts w:asciiTheme="majorHAnsi" w:hAnsiTheme="majorHAnsi"/>
                <w:sz w:val="20"/>
                <w:szCs w:val="20"/>
              </w:rPr>
              <w:t xml:space="preserve"> during the childbearing years</w:t>
            </w:r>
            <w:r w:rsidRPr="00BB5DB2">
              <w:rPr>
                <w:rFonts w:asciiTheme="majorHAnsi" w:hAnsiTheme="majorHAnsi"/>
                <w:sz w:val="20"/>
                <w:szCs w:val="20"/>
              </w:rPr>
              <w:t>.</w:t>
            </w:r>
          </w:p>
          <w:p w:rsidR="00867EFA" w:rsidRPr="00563DC3"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Breast counsellors assist mothers to maintain breastfeeding.</w:t>
            </w:r>
          </w:p>
        </w:tc>
        <w:tc>
          <w:tcPr>
            <w:tcW w:w="974" w:type="dxa"/>
            <w:tcBorders>
              <w:left w:val="single" w:sz="4" w:space="0" w:color="008000"/>
              <w:righ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80,000</w:t>
            </w:r>
          </w:p>
        </w:tc>
        <w:tc>
          <w:tcPr>
            <w:tcW w:w="1185" w:type="dxa"/>
            <w:tcBorders>
              <w:left w:val="single" w:sz="12" w:space="0" w:color="008000"/>
            </w:tcBorders>
          </w:tcPr>
          <w:p w:rsidR="00867EFA" w:rsidRPr="00877B09"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80,000</w:t>
            </w:r>
          </w:p>
        </w:tc>
      </w:tr>
      <w:tr w:rsidR="00867EFA" w:rsidTr="0065491E">
        <w:trPr>
          <w:cantSplit/>
        </w:trPr>
        <w:tc>
          <w:tcPr>
            <w:tcW w:w="2587" w:type="dxa"/>
            <w:tcBorders>
              <w:right w:val="single" w:sz="4" w:space="0" w:color="008000"/>
            </w:tcBorders>
          </w:tcPr>
          <w:p w:rsidR="00867EFA" w:rsidRPr="00D54EC7"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t>Grants for strategy 2.1</w:t>
            </w:r>
            <w:r>
              <w:rPr>
                <w:rFonts w:asciiTheme="majorHAnsi" w:hAnsiTheme="majorHAnsi"/>
                <w:sz w:val="20"/>
                <w:szCs w:val="20"/>
              </w:rPr>
              <w:t xml:space="preserve"> (m</w:t>
            </w:r>
            <w:r w:rsidRPr="00D54EC7">
              <w:rPr>
                <w:rFonts w:asciiTheme="majorHAnsi" w:hAnsiTheme="majorHAnsi"/>
                <w:sz w:val="20"/>
                <w:szCs w:val="20"/>
              </w:rPr>
              <w:t>ore Tongans are meeting the WHO Global Physical Activity Guidelines</w:t>
            </w:r>
            <w:r>
              <w:rPr>
                <w:rFonts w:asciiTheme="majorHAnsi" w:hAnsiTheme="majorHAnsi"/>
                <w:sz w:val="20"/>
                <w:szCs w:val="20"/>
              </w:rPr>
              <w:t>).</w:t>
            </w:r>
          </w:p>
        </w:tc>
        <w:tc>
          <w:tcPr>
            <w:tcW w:w="6404" w:type="dxa"/>
            <w:tcBorders>
              <w:left w:val="single" w:sz="4" w:space="0" w:color="008000"/>
            </w:tcBorders>
          </w:tcPr>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Economic measures make sp</w:t>
            </w:r>
            <w:r>
              <w:rPr>
                <w:rFonts w:asciiTheme="majorHAnsi" w:hAnsiTheme="majorHAnsi"/>
                <w:sz w:val="20"/>
                <w:szCs w:val="20"/>
              </w:rPr>
              <w:t>orts equipment more affordable</w:t>
            </w:r>
            <w:r w:rsidRPr="00BB5DB2">
              <w:rPr>
                <w:rFonts w:asciiTheme="majorHAnsi" w:hAnsiTheme="majorHAnsi"/>
                <w:sz w:val="20"/>
                <w:szCs w:val="20"/>
              </w:rPr>
              <w:t>.</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Community programs increase the availability of physical activity.</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Assist high-risk or priority groups re-engage in physical activity.</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Improved provision of physical activity in schools.</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Media campaign</w:t>
            </w:r>
            <w:r w:rsidRPr="00BB5DB2">
              <w:rPr>
                <w:rFonts w:asciiTheme="majorHAnsi" w:hAnsiTheme="majorHAnsi"/>
                <w:sz w:val="20"/>
                <w:szCs w:val="20"/>
              </w:rPr>
              <w:t xml:space="preserve"> build</w:t>
            </w:r>
            <w:r>
              <w:rPr>
                <w:rFonts w:asciiTheme="majorHAnsi" w:hAnsiTheme="majorHAnsi"/>
                <w:sz w:val="20"/>
                <w:szCs w:val="20"/>
              </w:rPr>
              <w:t>s demand for physical activity</w:t>
            </w:r>
            <w:r w:rsidRPr="00BB5DB2">
              <w:rPr>
                <w:rFonts w:asciiTheme="majorHAnsi" w:hAnsiTheme="majorHAnsi"/>
                <w:sz w:val="20"/>
                <w:szCs w:val="20"/>
              </w:rPr>
              <w:t>.</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 xml:space="preserve">Curriculum </w:t>
            </w:r>
            <w:r>
              <w:rPr>
                <w:rFonts w:asciiTheme="majorHAnsi" w:hAnsiTheme="majorHAnsi"/>
                <w:sz w:val="20"/>
                <w:szCs w:val="20"/>
              </w:rPr>
              <w:t>encourages</w:t>
            </w:r>
            <w:r w:rsidRPr="00BB5DB2">
              <w:rPr>
                <w:rFonts w:asciiTheme="majorHAnsi" w:hAnsiTheme="majorHAnsi"/>
                <w:sz w:val="20"/>
                <w:szCs w:val="20"/>
              </w:rPr>
              <w:t xml:space="preserve"> yo</w:t>
            </w:r>
            <w:r>
              <w:rPr>
                <w:rFonts w:asciiTheme="majorHAnsi" w:hAnsiTheme="majorHAnsi"/>
                <w:sz w:val="20"/>
                <w:szCs w:val="20"/>
              </w:rPr>
              <w:t>ung people’s physical activity.</w:t>
            </w:r>
          </w:p>
          <w:p w:rsidR="00867EFA" w:rsidRPr="00563DC3"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 xml:space="preserve">Expansion of the </w:t>
            </w:r>
            <w:proofErr w:type="spellStart"/>
            <w:r w:rsidRPr="00BB5DB2">
              <w:rPr>
                <w:rFonts w:asciiTheme="majorHAnsi" w:hAnsiTheme="majorHAnsi"/>
                <w:sz w:val="20"/>
                <w:szCs w:val="20"/>
              </w:rPr>
              <w:t>Fiefia</w:t>
            </w:r>
            <w:proofErr w:type="spellEnd"/>
            <w:r w:rsidRPr="00BB5DB2">
              <w:rPr>
                <w:rFonts w:asciiTheme="majorHAnsi" w:hAnsiTheme="majorHAnsi"/>
                <w:sz w:val="20"/>
                <w:szCs w:val="20"/>
              </w:rPr>
              <w:t xml:space="preserve"> program am</w:t>
            </w:r>
            <w:r>
              <w:rPr>
                <w:rFonts w:asciiTheme="majorHAnsi" w:hAnsiTheme="majorHAnsi"/>
                <w:sz w:val="20"/>
                <w:szCs w:val="20"/>
              </w:rPr>
              <w:t>ongst Nuku’alofa based workers</w:t>
            </w:r>
            <w:r w:rsidRPr="00BB5DB2">
              <w:rPr>
                <w:rFonts w:asciiTheme="majorHAnsi" w:hAnsiTheme="majorHAnsi"/>
                <w:sz w:val="20"/>
                <w:szCs w:val="20"/>
              </w:rPr>
              <w:t>.</w:t>
            </w:r>
          </w:p>
        </w:tc>
        <w:tc>
          <w:tcPr>
            <w:tcW w:w="974" w:type="dxa"/>
            <w:tcBorders>
              <w:left w:val="single" w:sz="4" w:space="0" w:color="008000"/>
              <w:right w:val="single" w:sz="4"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10,000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118,000</w:t>
            </w:r>
          </w:p>
        </w:tc>
        <w:tc>
          <w:tcPr>
            <w:tcW w:w="1185" w:type="dxa"/>
            <w:tcBorders>
              <w:left w:val="single" w:sz="12" w:space="0" w:color="008000"/>
            </w:tcBorders>
          </w:tcPr>
          <w:p w:rsidR="00867EFA" w:rsidRPr="00877B09"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128,000</w:t>
            </w:r>
          </w:p>
        </w:tc>
      </w:tr>
      <w:tr w:rsidR="00867EFA" w:rsidTr="0065491E">
        <w:trPr>
          <w:cantSplit/>
        </w:trPr>
        <w:tc>
          <w:tcPr>
            <w:tcW w:w="2587" w:type="dxa"/>
            <w:tcBorders>
              <w:right w:val="single" w:sz="4" w:space="0" w:color="008000"/>
            </w:tcBorders>
          </w:tcPr>
          <w:p w:rsidR="00867EFA" w:rsidRPr="00D54EC7"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lastRenderedPageBreak/>
              <w:t>Grants for strategy 2.2</w:t>
            </w:r>
            <w:r>
              <w:rPr>
                <w:rFonts w:asciiTheme="majorHAnsi" w:hAnsiTheme="majorHAnsi"/>
                <w:sz w:val="20"/>
                <w:szCs w:val="20"/>
              </w:rPr>
              <w:t xml:space="preserve"> (</w:t>
            </w:r>
            <w:r w:rsidRPr="00D54EC7">
              <w:rPr>
                <w:rFonts w:asciiTheme="majorHAnsi" w:hAnsiTheme="majorHAnsi"/>
                <w:sz w:val="20"/>
                <w:szCs w:val="20"/>
              </w:rPr>
              <w:t>Tongans are eating a healthier diet</w:t>
            </w:r>
            <w:r>
              <w:rPr>
                <w:rFonts w:asciiTheme="majorHAnsi" w:hAnsiTheme="majorHAnsi"/>
                <w:sz w:val="20"/>
                <w:szCs w:val="20"/>
              </w:rPr>
              <w:t>).</w:t>
            </w:r>
          </w:p>
        </w:tc>
        <w:tc>
          <w:tcPr>
            <w:tcW w:w="6404" w:type="dxa"/>
            <w:tcBorders>
              <w:left w:val="single" w:sz="4" w:space="0" w:color="008000"/>
            </w:tcBorders>
          </w:tcPr>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Strengthened management of Tongan fisheries.</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Economic meas</w:t>
            </w:r>
            <w:r>
              <w:rPr>
                <w:rFonts w:asciiTheme="majorHAnsi" w:hAnsiTheme="majorHAnsi"/>
                <w:sz w:val="20"/>
                <w:szCs w:val="20"/>
              </w:rPr>
              <w:t>ures increase</w:t>
            </w:r>
            <w:r w:rsidRPr="00BB5DB2">
              <w:rPr>
                <w:rFonts w:asciiTheme="majorHAnsi" w:hAnsiTheme="majorHAnsi"/>
                <w:sz w:val="20"/>
                <w:szCs w:val="20"/>
              </w:rPr>
              <w:t xml:space="preserve"> cost</w:t>
            </w:r>
            <w:r>
              <w:rPr>
                <w:rFonts w:asciiTheme="majorHAnsi" w:hAnsiTheme="majorHAnsi"/>
                <w:sz w:val="20"/>
                <w:szCs w:val="20"/>
              </w:rPr>
              <w:t>s</w:t>
            </w:r>
            <w:r w:rsidRPr="00BB5DB2">
              <w:rPr>
                <w:rFonts w:asciiTheme="majorHAnsi" w:hAnsiTheme="majorHAnsi"/>
                <w:sz w:val="20"/>
                <w:szCs w:val="20"/>
              </w:rPr>
              <w:t xml:space="preserve"> of </w:t>
            </w:r>
            <w:r>
              <w:rPr>
                <w:rFonts w:asciiTheme="majorHAnsi" w:hAnsiTheme="majorHAnsi"/>
                <w:sz w:val="20"/>
                <w:szCs w:val="20"/>
              </w:rPr>
              <w:t>unhealthy foods and reduce</w:t>
            </w:r>
            <w:r w:rsidRPr="00BB5DB2">
              <w:rPr>
                <w:rFonts w:asciiTheme="majorHAnsi" w:hAnsiTheme="majorHAnsi"/>
                <w:sz w:val="20"/>
                <w:szCs w:val="20"/>
              </w:rPr>
              <w:t xml:space="preserve"> cost</w:t>
            </w:r>
            <w:r>
              <w:rPr>
                <w:rFonts w:asciiTheme="majorHAnsi" w:hAnsiTheme="majorHAnsi"/>
                <w:sz w:val="20"/>
                <w:szCs w:val="20"/>
              </w:rPr>
              <w:t>s of healthier foods</w:t>
            </w:r>
            <w:r w:rsidRPr="00BB5DB2">
              <w:rPr>
                <w:rFonts w:asciiTheme="majorHAnsi" w:hAnsiTheme="majorHAnsi"/>
                <w:sz w:val="20"/>
                <w:szCs w:val="20"/>
              </w:rPr>
              <w:t>.</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Increased supply, diversity and nutritional value of agricultural products.</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Partnership with local food producers encourages the adoption of voluntary measures to modify basic food</w:t>
            </w:r>
            <w:r>
              <w:rPr>
                <w:rFonts w:asciiTheme="majorHAnsi" w:hAnsiTheme="majorHAnsi"/>
                <w:sz w:val="20"/>
                <w:szCs w:val="20"/>
              </w:rPr>
              <w:t>s goods to make them healthier</w:t>
            </w:r>
            <w:r w:rsidRPr="00BB5DB2">
              <w:rPr>
                <w:rFonts w:asciiTheme="majorHAnsi" w:hAnsiTheme="majorHAnsi"/>
                <w:sz w:val="20"/>
                <w:szCs w:val="20"/>
              </w:rPr>
              <w:t>.</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School and child care centres are health and nu</w:t>
            </w:r>
            <w:r>
              <w:rPr>
                <w:rFonts w:asciiTheme="majorHAnsi" w:hAnsiTheme="majorHAnsi"/>
                <w:sz w:val="20"/>
                <w:szCs w:val="20"/>
              </w:rPr>
              <w:t>trition promoting environments</w:t>
            </w:r>
            <w:r w:rsidRPr="00BB5DB2">
              <w:rPr>
                <w:rFonts w:asciiTheme="majorHAnsi" w:hAnsiTheme="majorHAnsi"/>
                <w:sz w:val="20"/>
                <w:szCs w:val="20"/>
              </w:rPr>
              <w:t>.</w:t>
            </w:r>
          </w:p>
          <w:p w:rsidR="00867EFA" w:rsidRPr="00BB5DB2"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 xml:space="preserve">Improve children and adolescents health related knowledge, attitude and behaviours through curriculum interventions – </w:t>
            </w:r>
            <w:r>
              <w:rPr>
                <w:rFonts w:asciiTheme="majorHAnsi" w:hAnsiTheme="majorHAnsi"/>
                <w:sz w:val="20"/>
                <w:szCs w:val="20"/>
              </w:rPr>
              <w:t>PSHLP</w:t>
            </w:r>
            <w:r w:rsidRPr="00BB5DB2">
              <w:rPr>
                <w:rFonts w:asciiTheme="majorHAnsi" w:hAnsiTheme="majorHAnsi"/>
                <w:sz w:val="20"/>
                <w:szCs w:val="20"/>
              </w:rPr>
              <w:t>.</w:t>
            </w:r>
          </w:p>
          <w:p w:rsidR="00867EFA" w:rsidRPr="002349E5" w:rsidRDefault="00867EFA" w:rsidP="00C229E2">
            <w:pPr>
              <w:pStyle w:val="ListParagraph"/>
              <w:numPr>
                <w:ilvl w:val="0"/>
                <w:numId w:val="36"/>
              </w:numPr>
              <w:spacing w:before="60" w:after="60"/>
              <w:ind w:left="360"/>
              <w:rPr>
                <w:rFonts w:asciiTheme="majorHAnsi" w:hAnsiTheme="majorHAnsi"/>
                <w:sz w:val="20"/>
                <w:szCs w:val="20"/>
              </w:rPr>
            </w:pPr>
            <w:r w:rsidRPr="00BB5DB2">
              <w:rPr>
                <w:rFonts w:asciiTheme="majorHAnsi" w:hAnsiTheme="majorHAnsi"/>
                <w:sz w:val="20"/>
                <w:szCs w:val="20"/>
              </w:rPr>
              <w:t>Strengthened labelling helps co</w:t>
            </w:r>
            <w:r>
              <w:rPr>
                <w:rFonts w:asciiTheme="majorHAnsi" w:hAnsiTheme="majorHAnsi"/>
                <w:sz w:val="20"/>
                <w:szCs w:val="20"/>
              </w:rPr>
              <w:t>nsumers choose healthier foods</w:t>
            </w:r>
            <w:r w:rsidRPr="00BB5DB2">
              <w:rPr>
                <w:rFonts w:asciiTheme="majorHAnsi" w:hAnsiTheme="majorHAnsi"/>
                <w:sz w:val="20"/>
                <w:szCs w:val="20"/>
              </w:rPr>
              <w:t>.</w:t>
            </w:r>
          </w:p>
        </w:tc>
        <w:tc>
          <w:tcPr>
            <w:tcW w:w="974" w:type="dxa"/>
            <w:tcBorders>
              <w:left w:val="single" w:sz="4" w:space="0" w:color="008000"/>
              <w:right w:val="single" w:sz="4" w:space="0" w:color="008000"/>
            </w:tcBorders>
          </w:tcPr>
          <w:p w:rsidR="00867EFA"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24,000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20</w:t>
            </w:r>
            <w:r w:rsidR="00E60D84">
              <w:rPr>
                <w:rFonts w:asciiTheme="majorHAnsi" w:hAnsiTheme="majorHAnsi"/>
                <w:sz w:val="20"/>
                <w:szCs w:val="20"/>
              </w:rPr>
              <w:t>0,000</w:t>
            </w:r>
          </w:p>
        </w:tc>
        <w:tc>
          <w:tcPr>
            <w:tcW w:w="1185" w:type="dxa"/>
            <w:tcBorders>
              <w:left w:val="single" w:sz="12" w:space="0" w:color="008000"/>
            </w:tcBorders>
          </w:tcPr>
          <w:p w:rsidR="00867EFA" w:rsidRPr="00877B09"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224,000</w:t>
            </w:r>
          </w:p>
        </w:tc>
      </w:tr>
      <w:tr w:rsidR="00867EFA" w:rsidTr="0065491E">
        <w:trPr>
          <w:cantSplit/>
        </w:trPr>
        <w:tc>
          <w:tcPr>
            <w:tcW w:w="2587" w:type="dxa"/>
            <w:tcBorders>
              <w:right w:val="single" w:sz="4" w:space="0" w:color="008000"/>
            </w:tcBorders>
          </w:tcPr>
          <w:p w:rsidR="00867EFA" w:rsidRPr="00D54EC7"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t>Grants for strategy 2.3</w:t>
            </w:r>
            <w:r>
              <w:rPr>
                <w:rFonts w:asciiTheme="majorHAnsi" w:hAnsiTheme="majorHAnsi"/>
                <w:sz w:val="20"/>
                <w:szCs w:val="20"/>
              </w:rPr>
              <w:t xml:space="preserve"> (r</w:t>
            </w:r>
            <w:r w:rsidRPr="00D54EC7">
              <w:rPr>
                <w:rFonts w:asciiTheme="majorHAnsi" w:hAnsiTheme="majorHAnsi"/>
                <w:sz w:val="20"/>
                <w:szCs w:val="20"/>
              </w:rPr>
              <w:t>educe alcohol related harm</w:t>
            </w:r>
            <w:r>
              <w:rPr>
                <w:rFonts w:asciiTheme="majorHAnsi" w:hAnsiTheme="majorHAnsi"/>
                <w:sz w:val="20"/>
                <w:szCs w:val="20"/>
              </w:rPr>
              <w:t>).</w:t>
            </w:r>
          </w:p>
        </w:tc>
        <w:tc>
          <w:tcPr>
            <w:tcW w:w="6404" w:type="dxa"/>
            <w:tcBorders>
              <w:left w:val="single" w:sz="4" w:space="0" w:color="008000"/>
            </w:tcBorders>
          </w:tcPr>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Community mobilisation supports alcohol free environments and limits sale of liquor to minors.</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Develop and implement a liquor licensing policy.</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Support and strengthen the responsible service of alcohol.</w:t>
            </w:r>
          </w:p>
          <w:p w:rsidR="00867EFA" w:rsidRPr="002349E5" w:rsidRDefault="00867EFA" w:rsidP="00C229E2">
            <w:pPr>
              <w:pStyle w:val="ListParagraph"/>
              <w:numPr>
                <w:ilvl w:val="0"/>
                <w:numId w:val="36"/>
              </w:numPr>
              <w:spacing w:before="60" w:after="60"/>
              <w:ind w:left="360"/>
              <w:rPr>
                <w:rFonts w:asciiTheme="majorHAnsi" w:hAnsiTheme="majorHAnsi"/>
                <w:sz w:val="20"/>
                <w:szCs w:val="20"/>
              </w:rPr>
            </w:pPr>
            <w:r w:rsidRPr="002349E5">
              <w:rPr>
                <w:rFonts w:asciiTheme="majorHAnsi" w:hAnsiTheme="majorHAnsi"/>
                <w:sz w:val="20"/>
                <w:szCs w:val="20"/>
              </w:rPr>
              <w:t>Raise public awaren</w:t>
            </w:r>
            <w:r>
              <w:rPr>
                <w:rFonts w:asciiTheme="majorHAnsi" w:hAnsiTheme="majorHAnsi"/>
                <w:sz w:val="20"/>
                <w:szCs w:val="20"/>
              </w:rPr>
              <w:t>ess about alcohol related harm</w:t>
            </w:r>
            <w:r w:rsidRPr="002349E5">
              <w:rPr>
                <w:rFonts w:asciiTheme="majorHAnsi" w:hAnsiTheme="majorHAnsi"/>
                <w:sz w:val="20"/>
                <w:szCs w:val="20"/>
              </w:rPr>
              <w:t>.</w:t>
            </w:r>
          </w:p>
          <w:p w:rsidR="00867EFA" w:rsidRPr="00563DC3"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Strengthen community collaboration with police to improve reporting of violations.</w:t>
            </w:r>
          </w:p>
        </w:tc>
        <w:tc>
          <w:tcPr>
            <w:tcW w:w="974" w:type="dxa"/>
            <w:tcBorders>
              <w:left w:val="single" w:sz="4" w:space="0" w:color="008000"/>
              <w:right w:val="single" w:sz="4" w:space="0" w:color="008000"/>
            </w:tcBorders>
          </w:tcPr>
          <w:p w:rsidR="00867EFA"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1</w:t>
            </w:r>
            <w:r w:rsidR="00E60D84">
              <w:rPr>
                <w:rFonts w:asciiTheme="majorHAnsi" w:hAnsiTheme="majorHAnsi"/>
                <w:sz w:val="20"/>
                <w:szCs w:val="20"/>
              </w:rPr>
              <w:t>0,000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DB00A5" w:rsidP="00C229E2">
            <w:pPr>
              <w:spacing w:before="60" w:after="60"/>
              <w:ind w:left="0" w:firstLine="0"/>
              <w:jc w:val="right"/>
              <w:rPr>
                <w:rFonts w:asciiTheme="majorHAnsi" w:hAnsiTheme="majorHAnsi"/>
                <w:sz w:val="20"/>
                <w:szCs w:val="20"/>
              </w:rPr>
            </w:pPr>
            <w:r>
              <w:rPr>
                <w:rFonts w:asciiTheme="majorHAnsi" w:hAnsiTheme="majorHAnsi"/>
                <w:sz w:val="20"/>
                <w:szCs w:val="20"/>
              </w:rPr>
              <w:t>6</w:t>
            </w:r>
            <w:r w:rsidR="00E60D84">
              <w:rPr>
                <w:rFonts w:asciiTheme="majorHAnsi" w:hAnsiTheme="majorHAnsi"/>
                <w:sz w:val="20"/>
                <w:szCs w:val="20"/>
              </w:rPr>
              <w:t>0,000</w:t>
            </w:r>
          </w:p>
        </w:tc>
        <w:tc>
          <w:tcPr>
            <w:tcW w:w="1185" w:type="dxa"/>
            <w:tcBorders>
              <w:left w:val="single" w:sz="12" w:space="0" w:color="008000"/>
            </w:tcBorders>
          </w:tcPr>
          <w:p w:rsidR="00867EFA" w:rsidRPr="00877B09"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70,000</w:t>
            </w:r>
          </w:p>
        </w:tc>
      </w:tr>
      <w:tr w:rsidR="00867EFA" w:rsidTr="0065491E">
        <w:trPr>
          <w:cantSplit/>
        </w:trPr>
        <w:tc>
          <w:tcPr>
            <w:tcW w:w="2587" w:type="dxa"/>
            <w:tcBorders>
              <w:right w:val="single" w:sz="4" w:space="0" w:color="008000"/>
            </w:tcBorders>
          </w:tcPr>
          <w:p w:rsidR="00867EFA" w:rsidRPr="00D54EC7" w:rsidRDefault="00867EFA" w:rsidP="00C229E2">
            <w:pPr>
              <w:spacing w:before="60" w:after="60"/>
              <w:ind w:left="0" w:firstLine="0"/>
              <w:rPr>
                <w:rFonts w:asciiTheme="majorHAnsi" w:hAnsiTheme="majorHAnsi"/>
                <w:sz w:val="20"/>
                <w:szCs w:val="20"/>
              </w:rPr>
            </w:pPr>
            <w:r w:rsidRPr="00AB51C5">
              <w:rPr>
                <w:rFonts w:asciiTheme="majorHAnsi" w:hAnsiTheme="majorHAnsi"/>
                <w:sz w:val="20"/>
                <w:szCs w:val="20"/>
              </w:rPr>
              <w:t>Grants for strategy 2.4</w:t>
            </w:r>
            <w:r>
              <w:rPr>
                <w:rFonts w:asciiTheme="majorHAnsi" w:hAnsiTheme="majorHAnsi"/>
                <w:sz w:val="20"/>
                <w:szCs w:val="20"/>
              </w:rPr>
              <w:t xml:space="preserve"> (r</w:t>
            </w:r>
            <w:r w:rsidRPr="00D54EC7">
              <w:rPr>
                <w:rFonts w:asciiTheme="majorHAnsi" w:hAnsiTheme="majorHAnsi"/>
                <w:sz w:val="20"/>
                <w:szCs w:val="20"/>
              </w:rPr>
              <w:t>educe tobacco related harm</w:t>
            </w:r>
            <w:r>
              <w:rPr>
                <w:rFonts w:asciiTheme="majorHAnsi" w:hAnsiTheme="majorHAnsi"/>
                <w:sz w:val="20"/>
                <w:szCs w:val="20"/>
              </w:rPr>
              <w:t>).</w:t>
            </w:r>
          </w:p>
        </w:tc>
        <w:tc>
          <w:tcPr>
            <w:tcW w:w="6404" w:type="dxa"/>
            <w:tcBorders>
              <w:left w:val="single" w:sz="4" w:space="0" w:color="008000"/>
            </w:tcBorders>
          </w:tcPr>
          <w:p w:rsidR="00867EFA" w:rsidRPr="002349E5" w:rsidRDefault="00867EFA" w:rsidP="00C229E2">
            <w:pPr>
              <w:pStyle w:val="ListParagraph"/>
              <w:numPr>
                <w:ilvl w:val="0"/>
                <w:numId w:val="36"/>
              </w:numPr>
              <w:spacing w:before="60" w:after="60"/>
              <w:ind w:left="360"/>
              <w:rPr>
                <w:rFonts w:asciiTheme="majorHAnsi" w:hAnsiTheme="majorHAnsi"/>
                <w:sz w:val="20"/>
                <w:szCs w:val="20"/>
              </w:rPr>
            </w:pPr>
            <w:r w:rsidRPr="002349E5">
              <w:rPr>
                <w:rFonts w:asciiTheme="majorHAnsi" w:hAnsiTheme="majorHAnsi"/>
                <w:sz w:val="20"/>
                <w:szCs w:val="20"/>
              </w:rPr>
              <w:t>Economic measures continue to</w:t>
            </w:r>
            <w:r>
              <w:rPr>
                <w:rFonts w:asciiTheme="majorHAnsi" w:hAnsiTheme="majorHAnsi"/>
                <w:sz w:val="20"/>
                <w:szCs w:val="20"/>
              </w:rPr>
              <w:t xml:space="preserve"> increase the price of tobacco</w:t>
            </w:r>
            <w:r w:rsidRPr="002349E5">
              <w:rPr>
                <w:rFonts w:asciiTheme="majorHAnsi" w:hAnsiTheme="majorHAnsi"/>
                <w:sz w:val="20"/>
                <w:szCs w:val="20"/>
              </w:rPr>
              <w:t>.</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Mass media campaign to increase intention to quit, reduce uptake and educate.</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Cessation services support smokers to quit.</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Expanded smoke free settings.</w:t>
            </w:r>
          </w:p>
          <w:p w:rsidR="00867EFA" w:rsidRPr="00563DC3" w:rsidRDefault="00867EFA" w:rsidP="00C229E2">
            <w:pPr>
              <w:pStyle w:val="ListParagraph"/>
              <w:numPr>
                <w:ilvl w:val="0"/>
                <w:numId w:val="36"/>
              </w:numPr>
              <w:spacing w:before="60" w:after="60"/>
              <w:ind w:left="360"/>
              <w:rPr>
                <w:rFonts w:asciiTheme="majorHAnsi" w:hAnsiTheme="majorHAnsi"/>
                <w:sz w:val="20"/>
                <w:szCs w:val="20"/>
              </w:rPr>
            </w:pPr>
            <w:r w:rsidRPr="002349E5">
              <w:rPr>
                <w:rFonts w:asciiTheme="majorHAnsi" w:hAnsiTheme="majorHAnsi"/>
                <w:sz w:val="20"/>
                <w:szCs w:val="20"/>
              </w:rPr>
              <w:t>Strength</w:t>
            </w:r>
            <w:r>
              <w:rPr>
                <w:rFonts w:asciiTheme="majorHAnsi" w:hAnsiTheme="majorHAnsi"/>
                <w:sz w:val="20"/>
                <w:szCs w:val="20"/>
              </w:rPr>
              <w:t>en tobacco control enforcement</w:t>
            </w:r>
            <w:r w:rsidRPr="002349E5">
              <w:rPr>
                <w:rFonts w:asciiTheme="majorHAnsi" w:hAnsiTheme="majorHAnsi"/>
                <w:sz w:val="20"/>
                <w:szCs w:val="20"/>
              </w:rPr>
              <w:t>.</w:t>
            </w:r>
          </w:p>
        </w:tc>
        <w:tc>
          <w:tcPr>
            <w:tcW w:w="974" w:type="dxa"/>
            <w:tcBorders>
              <w:left w:val="single" w:sz="4" w:space="0" w:color="008000"/>
              <w:right w:val="single" w:sz="4"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4</w:t>
            </w:r>
            <w:r w:rsidR="00867EFA">
              <w:rPr>
                <w:rFonts w:asciiTheme="majorHAnsi" w:hAnsiTheme="majorHAnsi"/>
                <w:sz w:val="20"/>
                <w:szCs w:val="20"/>
              </w:rPr>
              <w:t>0,000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60,000</w:t>
            </w:r>
          </w:p>
        </w:tc>
        <w:tc>
          <w:tcPr>
            <w:tcW w:w="1185" w:type="dxa"/>
            <w:tcBorders>
              <w:left w:val="single" w:sz="12" w:space="0" w:color="008000"/>
            </w:tcBorders>
          </w:tcPr>
          <w:p w:rsidR="00867EFA" w:rsidRPr="00877B09"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100,000</w:t>
            </w:r>
          </w:p>
        </w:tc>
      </w:tr>
      <w:tr w:rsidR="00867EFA" w:rsidTr="0065491E">
        <w:trPr>
          <w:cantSplit/>
        </w:trPr>
        <w:tc>
          <w:tcPr>
            <w:tcW w:w="2587" w:type="dxa"/>
            <w:tcBorders>
              <w:right w:val="single" w:sz="4" w:space="0" w:color="008000"/>
            </w:tcBorders>
          </w:tcPr>
          <w:p w:rsidR="00867EFA" w:rsidRPr="00AB51C5" w:rsidRDefault="00867EFA" w:rsidP="00C229E2">
            <w:pPr>
              <w:spacing w:before="60" w:after="60"/>
              <w:ind w:left="0" w:firstLine="0"/>
              <w:rPr>
                <w:rFonts w:asciiTheme="majorHAnsi" w:hAnsiTheme="majorHAnsi"/>
                <w:sz w:val="20"/>
                <w:szCs w:val="20"/>
              </w:rPr>
            </w:pPr>
            <w:r>
              <w:rPr>
                <w:rFonts w:asciiTheme="majorHAnsi" w:hAnsiTheme="majorHAnsi"/>
                <w:sz w:val="20"/>
                <w:szCs w:val="20"/>
              </w:rPr>
              <w:lastRenderedPageBreak/>
              <w:t>Strategy 4.1 Research Activities</w:t>
            </w:r>
          </w:p>
        </w:tc>
        <w:tc>
          <w:tcPr>
            <w:tcW w:w="6404" w:type="dxa"/>
            <w:tcBorders>
              <w:left w:val="single" w:sz="4" w:space="0" w:color="008000"/>
            </w:tcBorders>
          </w:tcPr>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Pre and Post Survey for the mass media anti-tobacco campaign.</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STEPS Gap Survey.</w:t>
            </w:r>
          </w:p>
          <w:p w:rsidR="00867EFA"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Global Schools Health Survey.</w:t>
            </w:r>
          </w:p>
          <w:p w:rsidR="00442D76" w:rsidRDefault="00442D76"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Population Census 2016</w:t>
            </w:r>
          </w:p>
          <w:p w:rsidR="00442D76" w:rsidRDefault="00442D76" w:rsidP="00442D76">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KABP on Maternal and Child Health</w:t>
            </w:r>
          </w:p>
          <w:p w:rsidR="00851061" w:rsidRDefault="00851061" w:rsidP="00442D76">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Price elasticity of demand of ‘healthy’ compared to ‘unhealthy’ food</w:t>
            </w:r>
          </w:p>
          <w:p w:rsidR="00851061" w:rsidRPr="002349E5" w:rsidRDefault="00851061" w:rsidP="00442D76">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KABP survey on alcohol use and related harm</w:t>
            </w:r>
          </w:p>
        </w:tc>
        <w:tc>
          <w:tcPr>
            <w:tcW w:w="974" w:type="dxa"/>
            <w:tcBorders>
              <w:left w:val="single" w:sz="4" w:space="0" w:color="008000"/>
              <w:right w:val="single" w:sz="4"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20,000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62,719</w:t>
            </w:r>
          </w:p>
        </w:tc>
        <w:tc>
          <w:tcPr>
            <w:tcW w:w="1185" w:type="dxa"/>
            <w:tcBorders>
              <w:lef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82,719</w:t>
            </w:r>
          </w:p>
        </w:tc>
      </w:tr>
      <w:tr w:rsidR="00867EFA" w:rsidTr="0065491E">
        <w:trPr>
          <w:cantSplit/>
        </w:trPr>
        <w:tc>
          <w:tcPr>
            <w:tcW w:w="2587" w:type="dxa"/>
            <w:tcBorders>
              <w:right w:val="single" w:sz="4" w:space="0" w:color="008000"/>
            </w:tcBorders>
          </w:tcPr>
          <w:p w:rsidR="00867EFA" w:rsidRDefault="00867EFA" w:rsidP="00C229E2">
            <w:pPr>
              <w:spacing w:before="60" w:after="60"/>
              <w:ind w:left="0" w:firstLine="0"/>
              <w:rPr>
                <w:rFonts w:asciiTheme="majorHAnsi" w:hAnsiTheme="majorHAnsi"/>
                <w:sz w:val="20"/>
                <w:szCs w:val="20"/>
              </w:rPr>
            </w:pPr>
            <w:r>
              <w:rPr>
                <w:rFonts w:asciiTheme="majorHAnsi" w:hAnsiTheme="majorHAnsi"/>
                <w:sz w:val="20"/>
                <w:szCs w:val="20"/>
              </w:rPr>
              <w:t>Strategy 4.1 Monitoring Activities</w:t>
            </w:r>
          </w:p>
        </w:tc>
        <w:tc>
          <w:tcPr>
            <w:tcW w:w="6404" w:type="dxa"/>
            <w:tcBorders>
              <w:left w:val="single" w:sz="4" w:space="0" w:color="008000"/>
            </w:tcBorders>
          </w:tcPr>
          <w:p w:rsidR="00867EFA" w:rsidRPr="0045161B"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Monitoring and Evaluation of partner activities.</w:t>
            </w:r>
          </w:p>
        </w:tc>
        <w:tc>
          <w:tcPr>
            <w:tcW w:w="974" w:type="dxa"/>
            <w:tcBorders>
              <w:left w:val="single" w:sz="4" w:space="0" w:color="008000"/>
              <w:right w:val="single" w:sz="4"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1</w:t>
            </w:r>
            <w:r w:rsidR="00867EFA">
              <w:rPr>
                <w:rFonts w:asciiTheme="majorHAnsi" w:hAnsiTheme="majorHAnsi"/>
                <w:sz w:val="20"/>
                <w:szCs w:val="20"/>
              </w:rPr>
              <w:t>0,000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20,721</w:t>
            </w:r>
          </w:p>
        </w:tc>
        <w:tc>
          <w:tcPr>
            <w:tcW w:w="1185" w:type="dxa"/>
            <w:tcBorders>
              <w:lef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30,721</w:t>
            </w:r>
          </w:p>
        </w:tc>
      </w:tr>
      <w:tr w:rsidR="00867EFA" w:rsidTr="00E60D84">
        <w:trPr>
          <w:cantSplit/>
        </w:trPr>
        <w:tc>
          <w:tcPr>
            <w:tcW w:w="2587" w:type="dxa"/>
            <w:tcBorders>
              <w:bottom w:val="single" w:sz="4" w:space="0" w:color="008000"/>
              <w:right w:val="single" w:sz="4" w:space="0" w:color="008000"/>
            </w:tcBorders>
          </w:tcPr>
          <w:p w:rsidR="00867EFA" w:rsidRDefault="00867EFA" w:rsidP="00C229E2">
            <w:pPr>
              <w:spacing w:before="60" w:after="60"/>
              <w:ind w:left="0" w:firstLine="0"/>
              <w:rPr>
                <w:rFonts w:asciiTheme="majorHAnsi" w:hAnsiTheme="majorHAnsi"/>
                <w:sz w:val="20"/>
                <w:szCs w:val="20"/>
              </w:rPr>
            </w:pPr>
            <w:r>
              <w:rPr>
                <w:rFonts w:asciiTheme="majorHAnsi" w:hAnsiTheme="majorHAnsi"/>
                <w:sz w:val="20"/>
                <w:szCs w:val="20"/>
              </w:rPr>
              <w:t>Work Planning</w:t>
            </w:r>
          </w:p>
        </w:tc>
        <w:tc>
          <w:tcPr>
            <w:tcW w:w="6404" w:type="dxa"/>
            <w:tcBorders>
              <w:left w:val="single" w:sz="4" w:space="0" w:color="008000"/>
              <w:bottom w:val="single" w:sz="4" w:space="0" w:color="008000"/>
            </w:tcBorders>
          </w:tcPr>
          <w:p w:rsidR="00867EFA" w:rsidRPr="0045161B" w:rsidRDefault="00867EFA" w:rsidP="00C229E2">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Work planning sessions with partners.</w:t>
            </w:r>
          </w:p>
        </w:tc>
        <w:tc>
          <w:tcPr>
            <w:tcW w:w="974" w:type="dxa"/>
            <w:tcBorders>
              <w:left w:val="single" w:sz="4" w:space="0" w:color="008000"/>
              <w:right w:val="single" w:sz="4" w:space="0" w:color="008000"/>
            </w:tcBorders>
          </w:tcPr>
          <w:p w:rsidR="00867EFA" w:rsidRDefault="00867EFA" w:rsidP="00C229E2">
            <w:pPr>
              <w:spacing w:before="60" w:after="60"/>
              <w:ind w:left="0" w:firstLine="0"/>
              <w:jc w:val="right"/>
              <w:rPr>
                <w:rFonts w:asciiTheme="majorHAnsi" w:hAnsiTheme="majorHAnsi"/>
                <w:sz w:val="20"/>
                <w:szCs w:val="20"/>
              </w:rPr>
            </w:pPr>
            <w:r>
              <w:rPr>
                <w:rFonts w:asciiTheme="majorHAnsi" w:hAnsiTheme="majorHAnsi"/>
                <w:sz w:val="20"/>
                <w:szCs w:val="20"/>
              </w:rPr>
              <w:t>5,000</w:t>
            </w:r>
          </w:p>
        </w:tc>
        <w:tc>
          <w:tcPr>
            <w:tcW w:w="967" w:type="dxa"/>
            <w:tcBorders>
              <w:left w:val="single" w:sz="4"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C229E2">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E60D84" w:rsidP="00C229E2">
            <w:pPr>
              <w:spacing w:before="60" w:after="60"/>
              <w:ind w:left="0" w:firstLine="0"/>
              <w:jc w:val="right"/>
              <w:rPr>
                <w:rFonts w:asciiTheme="majorHAnsi" w:hAnsiTheme="majorHAnsi"/>
                <w:sz w:val="20"/>
                <w:szCs w:val="20"/>
              </w:rPr>
            </w:pPr>
            <w:r>
              <w:rPr>
                <w:rFonts w:asciiTheme="majorHAnsi" w:hAnsiTheme="majorHAnsi"/>
                <w:sz w:val="20"/>
                <w:szCs w:val="20"/>
              </w:rPr>
              <w:t>5,000</w:t>
            </w:r>
          </w:p>
        </w:tc>
      </w:tr>
      <w:tr w:rsidR="00E60D84" w:rsidTr="00E60D84">
        <w:trPr>
          <w:cantSplit/>
        </w:trPr>
        <w:tc>
          <w:tcPr>
            <w:tcW w:w="8991" w:type="dxa"/>
            <w:gridSpan w:val="2"/>
            <w:tcBorders>
              <w:right w:val="nil"/>
            </w:tcBorders>
          </w:tcPr>
          <w:p w:rsidR="00E60D84" w:rsidRPr="00E60D84" w:rsidRDefault="00E60D84" w:rsidP="00862B1F">
            <w:pPr>
              <w:spacing w:before="60" w:after="60"/>
              <w:ind w:left="0" w:firstLine="0"/>
              <w:rPr>
                <w:rFonts w:asciiTheme="majorHAnsi" w:hAnsiTheme="majorHAnsi"/>
                <w:sz w:val="20"/>
                <w:szCs w:val="20"/>
              </w:rPr>
            </w:pPr>
            <w:r w:rsidRPr="00E60D84">
              <w:rPr>
                <w:rFonts w:asciiTheme="majorHAnsi" w:hAnsiTheme="majorHAnsi"/>
                <w:sz w:val="20"/>
                <w:szCs w:val="20"/>
              </w:rPr>
              <w:t>Sponsorships</w:t>
            </w:r>
          </w:p>
        </w:tc>
        <w:tc>
          <w:tcPr>
            <w:tcW w:w="974" w:type="dxa"/>
            <w:tcBorders>
              <w:left w:val="nil"/>
              <w:right w:val="single" w:sz="4" w:space="0" w:color="008000"/>
            </w:tcBorders>
          </w:tcPr>
          <w:p w:rsidR="00E60D84" w:rsidRPr="00DB00A5" w:rsidRDefault="00DB00A5" w:rsidP="00E657AE">
            <w:pPr>
              <w:spacing w:before="60" w:after="60"/>
              <w:ind w:left="0" w:firstLine="0"/>
              <w:jc w:val="right"/>
              <w:rPr>
                <w:rFonts w:asciiTheme="majorHAnsi" w:hAnsiTheme="majorHAnsi"/>
                <w:sz w:val="20"/>
                <w:szCs w:val="20"/>
              </w:rPr>
            </w:pPr>
            <w:r w:rsidRPr="00DB00A5">
              <w:rPr>
                <w:rFonts w:asciiTheme="majorHAnsi" w:hAnsiTheme="majorHAnsi"/>
                <w:sz w:val="20"/>
                <w:szCs w:val="20"/>
              </w:rPr>
              <w:t>5,000</w:t>
            </w:r>
          </w:p>
        </w:tc>
        <w:tc>
          <w:tcPr>
            <w:tcW w:w="967" w:type="dxa"/>
            <w:tcBorders>
              <w:left w:val="single" w:sz="4" w:space="0" w:color="008000"/>
            </w:tcBorders>
          </w:tcPr>
          <w:p w:rsidR="00E60D84" w:rsidRPr="00DB00A5" w:rsidRDefault="00E60D84"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E60D84" w:rsidRPr="00DB00A5" w:rsidRDefault="00E60D84"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E60D84" w:rsidRPr="00DB00A5" w:rsidRDefault="00DB00A5" w:rsidP="00E657AE">
            <w:pPr>
              <w:spacing w:before="60" w:after="60"/>
              <w:ind w:left="0" w:firstLine="0"/>
              <w:jc w:val="right"/>
              <w:rPr>
                <w:rFonts w:asciiTheme="majorHAnsi" w:hAnsiTheme="majorHAnsi"/>
                <w:sz w:val="20"/>
                <w:szCs w:val="20"/>
              </w:rPr>
            </w:pPr>
            <w:r>
              <w:rPr>
                <w:rFonts w:asciiTheme="majorHAnsi" w:hAnsiTheme="majorHAnsi"/>
                <w:sz w:val="20"/>
                <w:szCs w:val="20"/>
              </w:rPr>
              <w:t>5,000</w:t>
            </w:r>
          </w:p>
        </w:tc>
      </w:tr>
      <w:tr w:rsidR="00867EFA" w:rsidTr="0065491E">
        <w:trPr>
          <w:cantSplit/>
        </w:trPr>
        <w:tc>
          <w:tcPr>
            <w:tcW w:w="8991" w:type="dxa"/>
            <w:gridSpan w:val="2"/>
          </w:tcPr>
          <w:p w:rsidR="00867EFA" w:rsidRPr="00862B1F" w:rsidRDefault="00867EFA" w:rsidP="00862B1F">
            <w:pPr>
              <w:spacing w:before="60" w:after="60"/>
              <w:ind w:left="0" w:firstLine="0"/>
              <w:rPr>
                <w:rFonts w:asciiTheme="majorHAnsi" w:hAnsiTheme="majorHAnsi"/>
                <w:i/>
                <w:sz w:val="20"/>
                <w:szCs w:val="20"/>
              </w:rPr>
            </w:pPr>
            <w:r>
              <w:rPr>
                <w:rFonts w:asciiTheme="majorHAnsi" w:hAnsiTheme="majorHAnsi"/>
                <w:i/>
                <w:sz w:val="20"/>
                <w:szCs w:val="20"/>
              </w:rPr>
              <w:t>NCD Strategy Implementation sub-total</w:t>
            </w:r>
          </w:p>
        </w:tc>
        <w:tc>
          <w:tcPr>
            <w:tcW w:w="974" w:type="dxa"/>
            <w:tcBorders>
              <w:left w:val="single" w:sz="4" w:space="0" w:color="008000"/>
              <w:right w:val="single" w:sz="4" w:space="0" w:color="008000"/>
            </w:tcBorders>
          </w:tcPr>
          <w:p w:rsidR="00867EFA" w:rsidRPr="00AA23A4" w:rsidRDefault="00DB00A5" w:rsidP="00E657AE">
            <w:pPr>
              <w:spacing w:before="60" w:after="60"/>
              <w:ind w:left="0" w:firstLine="0"/>
              <w:jc w:val="right"/>
              <w:rPr>
                <w:rFonts w:asciiTheme="majorHAnsi" w:hAnsiTheme="majorHAnsi"/>
                <w:i/>
                <w:sz w:val="20"/>
                <w:szCs w:val="20"/>
              </w:rPr>
            </w:pPr>
            <w:r>
              <w:rPr>
                <w:rFonts w:asciiTheme="majorHAnsi" w:hAnsiTheme="majorHAnsi"/>
                <w:i/>
                <w:sz w:val="20"/>
                <w:szCs w:val="20"/>
              </w:rPr>
              <w:t>124,000</w:t>
            </w:r>
          </w:p>
        </w:tc>
        <w:tc>
          <w:tcPr>
            <w:tcW w:w="967" w:type="dxa"/>
            <w:tcBorders>
              <w:left w:val="single" w:sz="4" w:space="0" w:color="008000"/>
            </w:tcBorders>
          </w:tcPr>
          <w:p w:rsidR="00867EFA" w:rsidRPr="00AA23A4" w:rsidRDefault="00EC707E" w:rsidP="00E657AE">
            <w:pPr>
              <w:spacing w:before="60" w:after="60"/>
              <w:ind w:left="0" w:firstLine="0"/>
              <w:jc w:val="right"/>
              <w:rPr>
                <w:rFonts w:asciiTheme="majorHAnsi" w:hAnsiTheme="majorHAnsi"/>
                <w:i/>
                <w:sz w:val="20"/>
                <w:szCs w:val="20"/>
              </w:rPr>
            </w:pPr>
            <w:r>
              <w:rPr>
                <w:rFonts w:asciiTheme="majorHAnsi" w:hAnsiTheme="majorHAnsi"/>
                <w:i/>
                <w:sz w:val="20"/>
                <w:szCs w:val="20"/>
              </w:rPr>
              <w:t>12,000</w:t>
            </w:r>
          </w:p>
        </w:tc>
        <w:tc>
          <w:tcPr>
            <w:tcW w:w="1084" w:type="dxa"/>
            <w:tcBorders>
              <w:left w:val="single" w:sz="4" w:space="0" w:color="008000"/>
              <w:right w:val="single" w:sz="12" w:space="0" w:color="008000"/>
            </w:tcBorders>
          </w:tcPr>
          <w:p w:rsidR="00867EFA" w:rsidRPr="00AA23A4" w:rsidRDefault="00DB00A5" w:rsidP="00E657AE">
            <w:pPr>
              <w:spacing w:before="60" w:after="60"/>
              <w:ind w:left="0" w:firstLine="0"/>
              <w:jc w:val="right"/>
              <w:rPr>
                <w:rFonts w:asciiTheme="majorHAnsi" w:hAnsiTheme="majorHAnsi"/>
                <w:i/>
                <w:sz w:val="20"/>
                <w:szCs w:val="20"/>
              </w:rPr>
            </w:pPr>
            <w:r>
              <w:rPr>
                <w:rFonts w:asciiTheme="majorHAnsi" w:hAnsiTheme="majorHAnsi"/>
                <w:i/>
                <w:sz w:val="20"/>
                <w:szCs w:val="20"/>
              </w:rPr>
              <w:t>601,440</w:t>
            </w:r>
          </w:p>
        </w:tc>
        <w:tc>
          <w:tcPr>
            <w:tcW w:w="1185" w:type="dxa"/>
            <w:tcBorders>
              <w:left w:val="single" w:sz="12" w:space="0" w:color="008000"/>
            </w:tcBorders>
          </w:tcPr>
          <w:p w:rsidR="00867EFA" w:rsidRPr="00AA23A4" w:rsidRDefault="00DB00A5" w:rsidP="00E657AE">
            <w:pPr>
              <w:spacing w:before="60" w:after="60"/>
              <w:ind w:left="0" w:firstLine="0"/>
              <w:jc w:val="right"/>
              <w:rPr>
                <w:rFonts w:asciiTheme="majorHAnsi" w:hAnsiTheme="majorHAnsi"/>
                <w:i/>
                <w:sz w:val="20"/>
                <w:szCs w:val="20"/>
              </w:rPr>
            </w:pPr>
            <w:r>
              <w:rPr>
                <w:rFonts w:asciiTheme="majorHAnsi" w:hAnsiTheme="majorHAnsi"/>
                <w:i/>
                <w:sz w:val="20"/>
                <w:szCs w:val="20"/>
              </w:rPr>
              <w:t>725,440</w:t>
            </w:r>
          </w:p>
        </w:tc>
      </w:tr>
      <w:tr w:rsidR="00867EFA" w:rsidTr="0065491E">
        <w:trPr>
          <w:cantSplit/>
        </w:trPr>
        <w:tc>
          <w:tcPr>
            <w:tcW w:w="2587" w:type="dxa"/>
            <w:tcBorders>
              <w:right w:val="single" w:sz="4" w:space="0" w:color="008000"/>
            </w:tcBorders>
          </w:tcPr>
          <w:p w:rsidR="00867EFA" w:rsidRPr="00862B1F" w:rsidRDefault="00867EFA" w:rsidP="00BB5DB2">
            <w:pPr>
              <w:spacing w:before="60" w:after="60"/>
              <w:ind w:left="0" w:firstLine="0"/>
              <w:rPr>
                <w:rFonts w:asciiTheme="majorHAnsi" w:hAnsiTheme="majorHAnsi"/>
                <w:sz w:val="20"/>
                <w:szCs w:val="20"/>
              </w:rPr>
            </w:pPr>
            <w:r w:rsidRPr="00862B1F">
              <w:rPr>
                <w:rFonts w:asciiTheme="majorHAnsi" w:hAnsiTheme="majorHAnsi"/>
                <w:sz w:val="20"/>
                <w:szCs w:val="20"/>
              </w:rPr>
              <w:t>Communications</w:t>
            </w:r>
            <w:r>
              <w:rPr>
                <w:rFonts w:asciiTheme="majorHAnsi" w:hAnsiTheme="majorHAnsi"/>
                <w:sz w:val="20"/>
                <w:szCs w:val="20"/>
              </w:rPr>
              <w:t>&amp; Marketing</w:t>
            </w:r>
          </w:p>
        </w:tc>
        <w:tc>
          <w:tcPr>
            <w:tcW w:w="6404" w:type="dxa"/>
            <w:tcBorders>
              <w:left w:val="single" w:sz="4" w:space="0" w:color="008000"/>
            </w:tcBorders>
          </w:tcPr>
          <w:p w:rsidR="00867EFA" w:rsidRPr="00154E10" w:rsidRDefault="00867EFA" w:rsidP="0045161B">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Website; meetings &amp;workshops; printing costs; posters, banners, and signs; and TV and radio advertising.</w:t>
            </w:r>
          </w:p>
        </w:tc>
        <w:tc>
          <w:tcPr>
            <w:tcW w:w="974" w:type="dxa"/>
            <w:tcBorders>
              <w:left w:val="single" w:sz="4" w:space="0" w:color="008000"/>
              <w:right w:val="single" w:sz="4" w:space="0" w:color="008000"/>
            </w:tcBorders>
          </w:tcPr>
          <w:p w:rsidR="00867EFA" w:rsidRDefault="00DB00A5" w:rsidP="00E657AE">
            <w:pPr>
              <w:spacing w:before="60" w:after="60"/>
              <w:ind w:left="0" w:firstLine="0"/>
              <w:jc w:val="right"/>
              <w:rPr>
                <w:rFonts w:asciiTheme="majorHAnsi" w:hAnsiTheme="majorHAnsi"/>
                <w:sz w:val="20"/>
                <w:szCs w:val="20"/>
              </w:rPr>
            </w:pPr>
            <w:r>
              <w:rPr>
                <w:rFonts w:asciiTheme="majorHAnsi" w:hAnsiTheme="majorHAnsi"/>
                <w:sz w:val="20"/>
                <w:szCs w:val="20"/>
              </w:rPr>
              <w:t>37,900</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DB00A5" w:rsidP="00E657AE">
            <w:pPr>
              <w:spacing w:before="60" w:after="60"/>
              <w:ind w:left="0" w:firstLine="0"/>
              <w:jc w:val="right"/>
              <w:rPr>
                <w:rFonts w:asciiTheme="majorHAnsi" w:hAnsiTheme="majorHAnsi"/>
                <w:sz w:val="20"/>
                <w:szCs w:val="20"/>
              </w:rPr>
            </w:pPr>
            <w:r>
              <w:rPr>
                <w:rFonts w:asciiTheme="majorHAnsi" w:hAnsiTheme="majorHAnsi"/>
                <w:sz w:val="20"/>
                <w:szCs w:val="20"/>
              </w:rPr>
              <w:t>37,900</w:t>
            </w:r>
          </w:p>
        </w:tc>
      </w:tr>
      <w:tr w:rsidR="00867EFA" w:rsidTr="0065491E">
        <w:trPr>
          <w:cantSplit/>
        </w:trPr>
        <w:tc>
          <w:tcPr>
            <w:tcW w:w="2587" w:type="dxa"/>
            <w:tcBorders>
              <w:right w:val="single" w:sz="4" w:space="0" w:color="008000"/>
            </w:tcBorders>
          </w:tcPr>
          <w:p w:rsidR="00867EFA" w:rsidRPr="00862B1F" w:rsidRDefault="00867EFA" w:rsidP="00BB5DB2">
            <w:pPr>
              <w:spacing w:before="60" w:after="60"/>
              <w:ind w:left="0" w:firstLine="0"/>
              <w:rPr>
                <w:rFonts w:asciiTheme="majorHAnsi" w:hAnsiTheme="majorHAnsi"/>
                <w:sz w:val="20"/>
                <w:szCs w:val="20"/>
              </w:rPr>
            </w:pPr>
            <w:r>
              <w:rPr>
                <w:rFonts w:asciiTheme="majorHAnsi" w:hAnsiTheme="majorHAnsi"/>
                <w:sz w:val="20"/>
                <w:szCs w:val="20"/>
              </w:rPr>
              <w:t>Governance</w:t>
            </w:r>
          </w:p>
        </w:tc>
        <w:tc>
          <w:tcPr>
            <w:tcW w:w="6404" w:type="dxa"/>
            <w:tcBorders>
              <w:left w:val="single" w:sz="4" w:space="0" w:color="008000"/>
            </w:tcBorders>
          </w:tcPr>
          <w:p w:rsidR="00867EFA" w:rsidRPr="00154E10" w:rsidRDefault="00867EFA" w:rsidP="00154E10">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Board member fees; Board meeting expenses; mentoring &amp; support; and incidentals.</w:t>
            </w:r>
          </w:p>
        </w:tc>
        <w:tc>
          <w:tcPr>
            <w:tcW w:w="974" w:type="dxa"/>
            <w:tcBorders>
              <w:left w:val="single" w:sz="4" w:space="0" w:color="008000"/>
              <w:right w:val="single" w:sz="4" w:space="0" w:color="008000"/>
            </w:tcBorders>
          </w:tcPr>
          <w:p w:rsidR="00867EFA" w:rsidRDefault="00DB00A5" w:rsidP="00E657AE">
            <w:pPr>
              <w:spacing w:before="60" w:after="60"/>
              <w:ind w:left="0" w:firstLine="0"/>
              <w:jc w:val="right"/>
              <w:rPr>
                <w:rFonts w:asciiTheme="majorHAnsi" w:hAnsiTheme="majorHAnsi"/>
                <w:sz w:val="20"/>
                <w:szCs w:val="20"/>
              </w:rPr>
            </w:pPr>
            <w:r>
              <w:rPr>
                <w:rFonts w:asciiTheme="majorHAnsi" w:hAnsiTheme="majorHAnsi"/>
                <w:sz w:val="20"/>
                <w:szCs w:val="20"/>
              </w:rPr>
              <w:t>46,180</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867EFA" w:rsidP="00DB00A5">
            <w:pPr>
              <w:spacing w:before="60" w:after="60"/>
              <w:ind w:left="0" w:firstLine="0"/>
              <w:jc w:val="right"/>
              <w:rPr>
                <w:rFonts w:asciiTheme="majorHAnsi" w:hAnsiTheme="majorHAnsi"/>
                <w:sz w:val="20"/>
                <w:szCs w:val="20"/>
              </w:rPr>
            </w:pPr>
            <w:r>
              <w:rPr>
                <w:rFonts w:asciiTheme="majorHAnsi" w:hAnsiTheme="majorHAnsi"/>
                <w:sz w:val="20"/>
                <w:szCs w:val="20"/>
              </w:rPr>
              <w:t>4</w:t>
            </w:r>
            <w:r w:rsidR="00DB00A5">
              <w:rPr>
                <w:rFonts w:asciiTheme="majorHAnsi" w:hAnsiTheme="majorHAnsi"/>
                <w:sz w:val="20"/>
                <w:szCs w:val="20"/>
              </w:rPr>
              <w:t>6,18</w:t>
            </w:r>
            <w:r>
              <w:rPr>
                <w:rFonts w:asciiTheme="majorHAnsi" w:hAnsiTheme="majorHAnsi"/>
                <w:sz w:val="20"/>
                <w:szCs w:val="20"/>
              </w:rPr>
              <w:t>0</w:t>
            </w:r>
          </w:p>
        </w:tc>
      </w:tr>
      <w:tr w:rsidR="00867EFA" w:rsidTr="0065491E">
        <w:trPr>
          <w:cantSplit/>
        </w:trPr>
        <w:tc>
          <w:tcPr>
            <w:tcW w:w="2587" w:type="dxa"/>
            <w:tcBorders>
              <w:right w:val="single" w:sz="4" w:space="0" w:color="008000"/>
            </w:tcBorders>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Human Resource Management</w:t>
            </w:r>
          </w:p>
        </w:tc>
        <w:tc>
          <w:tcPr>
            <w:tcW w:w="6404" w:type="dxa"/>
            <w:tcBorders>
              <w:left w:val="single" w:sz="4" w:space="0" w:color="008000"/>
            </w:tcBorders>
          </w:tcPr>
          <w:p w:rsidR="00867EFA" w:rsidRPr="0045161B" w:rsidRDefault="00867EFA" w:rsidP="0045161B">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Staff salaries; staff recruitment; and training, development &amp; support.</w:t>
            </w:r>
          </w:p>
        </w:tc>
        <w:tc>
          <w:tcPr>
            <w:tcW w:w="974" w:type="dxa"/>
            <w:tcBorders>
              <w:left w:val="single" w:sz="4" w:space="0" w:color="008000"/>
              <w:right w:val="single" w:sz="4"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231,425</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Pr="001A338C" w:rsidRDefault="00867EFA" w:rsidP="00C10763">
            <w:pPr>
              <w:spacing w:before="60" w:after="60"/>
              <w:ind w:left="0" w:firstLine="0"/>
              <w:jc w:val="right"/>
              <w:rPr>
                <w:rFonts w:asciiTheme="majorHAnsi" w:hAnsiTheme="majorHAnsi"/>
                <w:sz w:val="20"/>
                <w:szCs w:val="20"/>
                <w:vertAlign w:val="superscript"/>
              </w:rPr>
            </w:pPr>
            <w:r>
              <w:rPr>
                <w:rFonts w:asciiTheme="majorHAnsi" w:hAnsiTheme="majorHAnsi"/>
                <w:sz w:val="20"/>
                <w:szCs w:val="20"/>
              </w:rPr>
              <w:t>6</w:t>
            </w:r>
            <w:r w:rsidR="00C10763">
              <w:rPr>
                <w:rFonts w:asciiTheme="majorHAnsi" w:hAnsiTheme="majorHAnsi"/>
                <w:sz w:val="20"/>
                <w:szCs w:val="20"/>
              </w:rPr>
              <w:t>6,557</w:t>
            </w:r>
            <w:r w:rsidR="001A338C">
              <w:rPr>
                <w:rFonts w:asciiTheme="majorHAnsi" w:hAnsiTheme="majorHAnsi"/>
                <w:sz w:val="20"/>
                <w:szCs w:val="20"/>
                <w:vertAlign w:val="superscript"/>
              </w:rPr>
              <w:t>1</w:t>
            </w:r>
          </w:p>
        </w:tc>
        <w:tc>
          <w:tcPr>
            <w:tcW w:w="1185" w:type="dxa"/>
            <w:tcBorders>
              <w:left w:val="single" w:sz="12"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297,983</w:t>
            </w:r>
          </w:p>
        </w:tc>
      </w:tr>
      <w:tr w:rsidR="00867EFA" w:rsidTr="0065491E">
        <w:trPr>
          <w:cantSplit/>
        </w:trPr>
        <w:tc>
          <w:tcPr>
            <w:tcW w:w="2587" w:type="dxa"/>
            <w:tcBorders>
              <w:right w:val="single" w:sz="4" w:space="0" w:color="008000"/>
            </w:tcBorders>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IT &amp; Corporate Communication</w:t>
            </w:r>
          </w:p>
        </w:tc>
        <w:tc>
          <w:tcPr>
            <w:tcW w:w="6404" w:type="dxa"/>
            <w:tcBorders>
              <w:left w:val="single" w:sz="4" w:space="0" w:color="008000"/>
            </w:tcBorders>
          </w:tcPr>
          <w:p w:rsidR="00867EFA" w:rsidRPr="0045161B" w:rsidRDefault="00867EFA" w:rsidP="0045161B">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Accounting system; database; Telephone and internet; and computer software and consumables.</w:t>
            </w:r>
          </w:p>
        </w:tc>
        <w:tc>
          <w:tcPr>
            <w:tcW w:w="974" w:type="dxa"/>
            <w:tcBorders>
              <w:left w:val="single" w:sz="4" w:space="0" w:color="008000"/>
              <w:right w:val="single" w:sz="4" w:space="0" w:color="008000"/>
            </w:tcBorders>
          </w:tcPr>
          <w:p w:rsidR="00867EFA" w:rsidRDefault="00C10763" w:rsidP="00025E27">
            <w:pPr>
              <w:spacing w:before="60" w:after="60"/>
              <w:ind w:left="0" w:firstLine="0"/>
              <w:jc w:val="right"/>
              <w:rPr>
                <w:rFonts w:asciiTheme="majorHAnsi" w:hAnsiTheme="majorHAnsi"/>
                <w:sz w:val="20"/>
                <w:szCs w:val="20"/>
              </w:rPr>
            </w:pPr>
            <w:r>
              <w:rPr>
                <w:rFonts w:asciiTheme="majorHAnsi" w:hAnsiTheme="majorHAnsi"/>
                <w:sz w:val="20"/>
                <w:szCs w:val="20"/>
              </w:rPr>
              <w:t>9,500</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9,500</w:t>
            </w:r>
          </w:p>
        </w:tc>
      </w:tr>
      <w:tr w:rsidR="00867EFA" w:rsidTr="0065491E">
        <w:trPr>
          <w:cantSplit/>
        </w:trPr>
        <w:tc>
          <w:tcPr>
            <w:tcW w:w="2587" w:type="dxa"/>
            <w:tcBorders>
              <w:right w:val="single" w:sz="4" w:space="0" w:color="008000"/>
            </w:tcBorders>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Transport &amp; Travel</w:t>
            </w:r>
          </w:p>
        </w:tc>
        <w:tc>
          <w:tcPr>
            <w:tcW w:w="6404" w:type="dxa"/>
            <w:tcBorders>
              <w:left w:val="single" w:sz="4" w:space="0" w:color="008000"/>
            </w:tcBorders>
          </w:tcPr>
          <w:p w:rsidR="00867EFA" w:rsidRPr="0045161B" w:rsidRDefault="00867EFA" w:rsidP="0045161B">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International and domestic travel; and motor vehicle fuel and maintenance.</w:t>
            </w:r>
          </w:p>
        </w:tc>
        <w:tc>
          <w:tcPr>
            <w:tcW w:w="974" w:type="dxa"/>
            <w:tcBorders>
              <w:left w:val="single" w:sz="4" w:space="0" w:color="008000"/>
              <w:right w:val="single" w:sz="4"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24,200</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24,200</w:t>
            </w:r>
          </w:p>
        </w:tc>
      </w:tr>
      <w:tr w:rsidR="00867EFA" w:rsidTr="0065491E">
        <w:trPr>
          <w:cantSplit/>
        </w:trPr>
        <w:tc>
          <w:tcPr>
            <w:tcW w:w="2587" w:type="dxa"/>
            <w:tcBorders>
              <w:right w:val="single" w:sz="4" w:space="0" w:color="008000"/>
            </w:tcBorders>
          </w:tcPr>
          <w:p w:rsidR="00867EFA" w:rsidRDefault="00867EFA" w:rsidP="00BB5DB2">
            <w:pPr>
              <w:spacing w:before="60" w:after="60"/>
              <w:ind w:left="0" w:firstLine="0"/>
              <w:rPr>
                <w:rFonts w:asciiTheme="majorHAnsi" w:hAnsiTheme="majorHAnsi"/>
                <w:sz w:val="20"/>
                <w:szCs w:val="20"/>
              </w:rPr>
            </w:pPr>
            <w:r>
              <w:rPr>
                <w:rFonts w:asciiTheme="majorHAnsi" w:hAnsiTheme="majorHAnsi"/>
                <w:sz w:val="20"/>
                <w:szCs w:val="20"/>
              </w:rPr>
              <w:t>General Admin</w:t>
            </w:r>
          </w:p>
        </w:tc>
        <w:tc>
          <w:tcPr>
            <w:tcW w:w="6404" w:type="dxa"/>
            <w:tcBorders>
              <w:left w:val="single" w:sz="4" w:space="0" w:color="008000"/>
            </w:tcBorders>
          </w:tcPr>
          <w:p w:rsidR="00867EFA" w:rsidRPr="0045161B" w:rsidRDefault="00867EFA" w:rsidP="00CC60ED">
            <w:pPr>
              <w:pStyle w:val="ListParagraph"/>
              <w:numPr>
                <w:ilvl w:val="0"/>
                <w:numId w:val="36"/>
              </w:numPr>
              <w:spacing w:before="60" w:after="60"/>
              <w:ind w:left="360"/>
              <w:rPr>
                <w:rFonts w:asciiTheme="majorHAnsi" w:hAnsiTheme="majorHAnsi"/>
                <w:sz w:val="20"/>
                <w:szCs w:val="20"/>
              </w:rPr>
            </w:pPr>
            <w:r>
              <w:rPr>
                <w:rFonts w:asciiTheme="majorHAnsi" w:hAnsiTheme="majorHAnsi"/>
                <w:sz w:val="20"/>
                <w:szCs w:val="20"/>
              </w:rPr>
              <w:t>Stationery &amp; office supplies; water; insurance; bank charges; audit fees; memberships &amp; subscriptions; postage; cleaning etc.</w:t>
            </w:r>
          </w:p>
        </w:tc>
        <w:tc>
          <w:tcPr>
            <w:tcW w:w="974" w:type="dxa"/>
            <w:tcBorders>
              <w:left w:val="single" w:sz="4" w:space="0" w:color="008000"/>
              <w:right w:val="single" w:sz="4"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28,248</w:t>
            </w:r>
          </w:p>
        </w:tc>
        <w:tc>
          <w:tcPr>
            <w:tcW w:w="967" w:type="dxa"/>
            <w:tcBorders>
              <w:lef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Default="00C10763" w:rsidP="00E657AE">
            <w:pPr>
              <w:spacing w:before="60" w:after="60"/>
              <w:ind w:left="0" w:firstLine="0"/>
              <w:jc w:val="right"/>
              <w:rPr>
                <w:rFonts w:asciiTheme="majorHAnsi" w:hAnsiTheme="majorHAnsi"/>
                <w:sz w:val="20"/>
                <w:szCs w:val="20"/>
              </w:rPr>
            </w:pPr>
            <w:r>
              <w:rPr>
                <w:rFonts w:asciiTheme="majorHAnsi" w:hAnsiTheme="majorHAnsi"/>
                <w:sz w:val="20"/>
                <w:szCs w:val="20"/>
              </w:rPr>
              <w:t>28,248</w:t>
            </w:r>
          </w:p>
        </w:tc>
      </w:tr>
      <w:tr w:rsidR="00867EFA" w:rsidTr="0065491E">
        <w:trPr>
          <w:cantSplit/>
        </w:trPr>
        <w:tc>
          <w:tcPr>
            <w:tcW w:w="2587" w:type="dxa"/>
            <w:tcBorders>
              <w:right w:val="single" w:sz="4" w:space="0" w:color="008000"/>
            </w:tcBorders>
          </w:tcPr>
          <w:p w:rsidR="00867EFA" w:rsidRPr="00D54EC7" w:rsidRDefault="00867EFA" w:rsidP="009C779F">
            <w:pPr>
              <w:spacing w:before="60" w:after="60"/>
              <w:ind w:left="0" w:firstLine="0"/>
              <w:rPr>
                <w:rFonts w:asciiTheme="majorHAnsi" w:hAnsiTheme="majorHAnsi"/>
                <w:sz w:val="20"/>
                <w:szCs w:val="20"/>
              </w:rPr>
            </w:pPr>
            <w:r>
              <w:rPr>
                <w:rFonts w:asciiTheme="majorHAnsi" w:hAnsiTheme="majorHAnsi"/>
                <w:sz w:val="20"/>
                <w:szCs w:val="20"/>
              </w:rPr>
              <w:t>Dr Tapa Scholarships</w:t>
            </w:r>
          </w:p>
        </w:tc>
        <w:tc>
          <w:tcPr>
            <w:tcW w:w="6404" w:type="dxa"/>
            <w:tcBorders>
              <w:left w:val="single" w:sz="4" w:space="0" w:color="008000"/>
            </w:tcBorders>
          </w:tcPr>
          <w:p w:rsidR="00867EFA" w:rsidRPr="006931C7" w:rsidRDefault="00867EFA" w:rsidP="006931C7">
            <w:pPr>
              <w:spacing w:before="60" w:after="60"/>
              <w:ind w:left="0" w:firstLine="0"/>
              <w:rPr>
                <w:rFonts w:asciiTheme="majorHAnsi" w:hAnsiTheme="majorHAnsi"/>
                <w:sz w:val="20"/>
                <w:szCs w:val="20"/>
              </w:rPr>
            </w:pPr>
          </w:p>
        </w:tc>
        <w:tc>
          <w:tcPr>
            <w:tcW w:w="974" w:type="dxa"/>
            <w:tcBorders>
              <w:left w:val="single" w:sz="4" w:space="0" w:color="008000"/>
              <w:right w:val="single" w:sz="4"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967" w:type="dxa"/>
            <w:tcBorders>
              <w:left w:val="single" w:sz="4" w:space="0" w:color="008000"/>
            </w:tcBorders>
          </w:tcPr>
          <w:p w:rsidR="00867EFA" w:rsidRDefault="00867EFA" w:rsidP="00C10763">
            <w:pPr>
              <w:spacing w:before="60" w:after="60"/>
              <w:ind w:left="0" w:firstLine="0"/>
              <w:jc w:val="right"/>
              <w:rPr>
                <w:rFonts w:asciiTheme="majorHAnsi" w:hAnsiTheme="majorHAnsi"/>
                <w:sz w:val="20"/>
                <w:szCs w:val="20"/>
              </w:rPr>
            </w:pPr>
            <w:r>
              <w:rPr>
                <w:rFonts w:asciiTheme="majorHAnsi" w:hAnsiTheme="majorHAnsi"/>
                <w:sz w:val="20"/>
                <w:szCs w:val="20"/>
              </w:rPr>
              <w:t>60,</w:t>
            </w:r>
            <w:r w:rsidR="00C10763">
              <w:rPr>
                <w:rFonts w:asciiTheme="majorHAnsi" w:hAnsiTheme="majorHAnsi"/>
                <w:sz w:val="20"/>
                <w:szCs w:val="20"/>
              </w:rPr>
              <w:t>260</w:t>
            </w:r>
          </w:p>
        </w:tc>
        <w:tc>
          <w:tcPr>
            <w:tcW w:w="1084" w:type="dxa"/>
            <w:tcBorders>
              <w:left w:val="single" w:sz="4" w:space="0" w:color="008000"/>
              <w:right w:val="single" w:sz="12" w:space="0" w:color="008000"/>
            </w:tcBorders>
          </w:tcPr>
          <w:p w:rsidR="00867EFA" w:rsidRDefault="00867EFA" w:rsidP="00E657AE">
            <w:pPr>
              <w:spacing w:before="60" w:after="60"/>
              <w:ind w:left="0" w:firstLine="0"/>
              <w:jc w:val="right"/>
              <w:rPr>
                <w:rFonts w:asciiTheme="majorHAnsi" w:hAnsiTheme="majorHAnsi"/>
                <w:sz w:val="20"/>
                <w:szCs w:val="20"/>
              </w:rPr>
            </w:pPr>
          </w:p>
        </w:tc>
        <w:tc>
          <w:tcPr>
            <w:tcW w:w="1185" w:type="dxa"/>
            <w:tcBorders>
              <w:left w:val="single" w:sz="12" w:space="0" w:color="008000"/>
            </w:tcBorders>
          </w:tcPr>
          <w:p w:rsidR="00867EFA" w:rsidRPr="00877B09" w:rsidRDefault="00867EFA" w:rsidP="00E657AE">
            <w:pPr>
              <w:spacing w:before="60" w:after="60"/>
              <w:ind w:left="0" w:firstLine="0"/>
              <w:jc w:val="right"/>
              <w:rPr>
                <w:rFonts w:asciiTheme="majorHAnsi" w:hAnsiTheme="majorHAnsi"/>
                <w:sz w:val="20"/>
                <w:szCs w:val="20"/>
              </w:rPr>
            </w:pPr>
            <w:r>
              <w:rPr>
                <w:rFonts w:asciiTheme="majorHAnsi" w:hAnsiTheme="majorHAnsi"/>
                <w:sz w:val="20"/>
                <w:szCs w:val="20"/>
              </w:rPr>
              <w:t>60,694</w:t>
            </w:r>
          </w:p>
        </w:tc>
      </w:tr>
      <w:tr w:rsidR="00867EFA" w:rsidTr="0065491E">
        <w:trPr>
          <w:cantSplit/>
        </w:trPr>
        <w:tc>
          <w:tcPr>
            <w:tcW w:w="8991" w:type="dxa"/>
            <w:gridSpan w:val="2"/>
          </w:tcPr>
          <w:p w:rsidR="00867EFA" w:rsidRPr="006931C7" w:rsidRDefault="00867EFA" w:rsidP="006931C7">
            <w:pPr>
              <w:spacing w:before="60" w:after="60"/>
              <w:ind w:left="0" w:firstLine="0"/>
              <w:rPr>
                <w:rFonts w:asciiTheme="majorHAnsi" w:hAnsiTheme="majorHAnsi"/>
                <w:i/>
                <w:sz w:val="20"/>
                <w:szCs w:val="20"/>
              </w:rPr>
            </w:pPr>
            <w:r w:rsidRPr="006931C7">
              <w:rPr>
                <w:rFonts w:asciiTheme="majorHAnsi" w:hAnsiTheme="majorHAnsi"/>
                <w:i/>
                <w:sz w:val="20"/>
                <w:szCs w:val="20"/>
              </w:rPr>
              <w:t>Recurrent Expenditure sub-total</w:t>
            </w:r>
          </w:p>
        </w:tc>
        <w:tc>
          <w:tcPr>
            <w:tcW w:w="974" w:type="dxa"/>
            <w:tcBorders>
              <w:left w:val="single" w:sz="4" w:space="0" w:color="008000"/>
              <w:right w:val="single" w:sz="4" w:space="0" w:color="008000"/>
            </w:tcBorders>
          </w:tcPr>
          <w:p w:rsidR="00867EFA" w:rsidRPr="006931C7" w:rsidRDefault="00867EFA" w:rsidP="00E657AE">
            <w:pPr>
              <w:spacing w:before="60" w:after="60"/>
              <w:ind w:left="0" w:firstLine="0"/>
              <w:jc w:val="right"/>
              <w:rPr>
                <w:rFonts w:asciiTheme="majorHAnsi" w:hAnsiTheme="majorHAnsi"/>
                <w:i/>
                <w:sz w:val="20"/>
                <w:szCs w:val="20"/>
              </w:rPr>
            </w:pPr>
            <w:r>
              <w:rPr>
                <w:rFonts w:asciiTheme="majorHAnsi" w:hAnsiTheme="majorHAnsi"/>
                <w:i/>
                <w:sz w:val="20"/>
                <w:szCs w:val="20"/>
              </w:rPr>
              <w:t>381,951</w:t>
            </w:r>
          </w:p>
        </w:tc>
        <w:tc>
          <w:tcPr>
            <w:tcW w:w="967" w:type="dxa"/>
            <w:tcBorders>
              <w:left w:val="single" w:sz="4" w:space="0" w:color="008000"/>
            </w:tcBorders>
          </w:tcPr>
          <w:p w:rsidR="00867EFA" w:rsidRPr="006931C7" w:rsidRDefault="00867EFA" w:rsidP="001A338C">
            <w:pPr>
              <w:spacing w:before="60" w:after="60"/>
              <w:ind w:left="0" w:firstLine="0"/>
              <w:jc w:val="right"/>
              <w:rPr>
                <w:rFonts w:asciiTheme="majorHAnsi" w:hAnsiTheme="majorHAnsi"/>
                <w:i/>
                <w:sz w:val="20"/>
                <w:szCs w:val="20"/>
              </w:rPr>
            </w:pPr>
            <w:r w:rsidRPr="006931C7">
              <w:rPr>
                <w:rFonts w:asciiTheme="majorHAnsi" w:hAnsiTheme="majorHAnsi"/>
                <w:i/>
                <w:sz w:val="20"/>
                <w:szCs w:val="20"/>
              </w:rPr>
              <w:t>60,</w:t>
            </w:r>
            <w:r w:rsidR="00C10763">
              <w:rPr>
                <w:rFonts w:asciiTheme="majorHAnsi" w:hAnsiTheme="majorHAnsi"/>
                <w:i/>
                <w:sz w:val="20"/>
                <w:szCs w:val="20"/>
              </w:rPr>
              <w:t>260</w:t>
            </w:r>
          </w:p>
        </w:tc>
        <w:tc>
          <w:tcPr>
            <w:tcW w:w="1084" w:type="dxa"/>
            <w:tcBorders>
              <w:left w:val="single" w:sz="4" w:space="0" w:color="008000"/>
              <w:right w:val="single" w:sz="12" w:space="0" w:color="008000"/>
            </w:tcBorders>
          </w:tcPr>
          <w:p w:rsidR="00867EFA" w:rsidRPr="006931C7" w:rsidRDefault="00867EFA" w:rsidP="00E657AE">
            <w:pPr>
              <w:spacing w:before="60" w:after="60"/>
              <w:ind w:left="0" w:firstLine="0"/>
              <w:jc w:val="right"/>
              <w:rPr>
                <w:rFonts w:asciiTheme="majorHAnsi" w:hAnsiTheme="majorHAnsi"/>
                <w:i/>
                <w:sz w:val="20"/>
                <w:szCs w:val="20"/>
              </w:rPr>
            </w:pPr>
            <w:r>
              <w:rPr>
                <w:rFonts w:asciiTheme="majorHAnsi" w:hAnsiTheme="majorHAnsi"/>
                <w:i/>
                <w:sz w:val="20"/>
                <w:szCs w:val="20"/>
              </w:rPr>
              <w:t>-</w:t>
            </w:r>
          </w:p>
        </w:tc>
        <w:tc>
          <w:tcPr>
            <w:tcW w:w="1185" w:type="dxa"/>
            <w:tcBorders>
              <w:left w:val="single" w:sz="12" w:space="0" w:color="008000"/>
            </w:tcBorders>
          </w:tcPr>
          <w:p w:rsidR="00867EFA" w:rsidRPr="006931C7" w:rsidRDefault="00867EFA" w:rsidP="00E657AE">
            <w:pPr>
              <w:spacing w:before="60" w:after="60"/>
              <w:ind w:left="0" w:firstLine="0"/>
              <w:jc w:val="right"/>
              <w:rPr>
                <w:rFonts w:asciiTheme="majorHAnsi" w:hAnsiTheme="majorHAnsi"/>
                <w:i/>
                <w:sz w:val="20"/>
                <w:szCs w:val="20"/>
              </w:rPr>
            </w:pPr>
          </w:p>
        </w:tc>
      </w:tr>
      <w:tr w:rsidR="00867EFA" w:rsidTr="007A3C19">
        <w:trPr>
          <w:cantSplit/>
        </w:trPr>
        <w:tc>
          <w:tcPr>
            <w:tcW w:w="2587" w:type="dxa"/>
            <w:tcBorders>
              <w:bottom w:val="single" w:sz="12" w:space="0" w:color="008000"/>
              <w:right w:val="single" w:sz="4" w:space="0" w:color="008000"/>
            </w:tcBorders>
          </w:tcPr>
          <w:p w:rsidR="00867EFA" w:rsidRPr="006931C7" w:rsidRDefault="00867EFA" w:rsidP="009C779F">
            <w:pPr>
              <w:spacing w:before="60" w:after="60"/>
              <w:ind w:left="0" w:firstLine="0"/>
              <w:rPr>
                <w:rFonts w:asciiTheme="majorHAnsi" w:hAnsiTheme="majorHAnsi"/>
                <w:i/>
                <w:sz w:val="20"/>
                <w:szCs w:val="20"/>
              </w:rPr>
            </w:pPr>
          </w:p>
        </w:tc>
        <w:tc>
          <w:tcPr>
            <w:tcW w:w="6404" w:type="dxa"/>
            <w:tcBorders>
              <w:left w:val="single" w:sz="4" w:space="0" w:color="008000"/>
              <w:bottom w:val="single" w:sz="12" w:space="0" w:color="008000"/>
            </w:tcBorders>
          </w:tcPr>
          <w:p w:rsidR="00867EFA" w:rsidRPr="0045161B" w:rsidRDefault="00867EFA" w:rsidP="00B63C81">
            <w:pPr>
              <w:pStyle w:val="ListParagraph"/>
              <w:spacing w:before="60" w:after="60"/>
              <w:ind w:left="360" w:firstLine="0"/>
              <w:rPr>
                <w:rFonts w:asciiTheme="majorHAnsi" w:hAnsiTheme="majorHAnsi"/>
                <w:i/>
                <w:sz w:val="20"/>
                <w:szCs w:val="20"/>
              </w:rPr>
            </w:pPr>
          </w:p>
        </w:tc>
        <w:tc>
          <w:tcPr>
            <w:tcW w:w="974" w:type="dxa"/>
            <w:tcBorders>
              <w:left w:val="single" w:sz="4" w:space="0" w:color="008000"/>
              <w:bottom w:val="single" w:sz="12" w:space="0" w:color="008000"/>
              <w:right w:val="single" w:sz="4" w:space="0" w:color="008000"/>
            </w:tcBorders>
          </w:tcPr>
          <w:p w:rsidR="00867EFA" w:rsidRPr="006931C7" w:rsidRDefault="00867EFA" w:rsidP="00E657AE">
            <w:pPr>
              <w:spacing w:before="60" w:after="60"/>
              <w:ind w:left="0" w:firstLine="0"/>
              <w:jc w:val="right"/>
              <w:rPr>
                <w:rFonts w:asciiTheme="majorHAnsi" w:hAnsiTheme="majorHAnsi"/>
                <w:i/>
                <w:sz w:val="20"/>
                <w:szCs w:val="20"/>
              </w:rPr>
            </w:pPr>
          </w:p>
        </w:tc>
        <w:tc>
          <w:tcPr>
            <w:tcW w:w="967" w:type="dxa"/>
            <w:tcBorders>
              <w:left w:val="single" w:sz="4" w:space="0" w:color="008000"/>
              <w:bottom w:val="single" w:sz="12" w:space="0" w:color="008000"/>
            </w:tcBorders>
          </w:tcPr>
          <w:p w:rsidR="00867EFA" w:rsidRPr="006931C7" w:rsidRDefault="00867EFA" w:rsidP="00E657AE">
            <w:pPr>
              <w:spacing w:before="60" w:after="60"/>
              <w:ind w:left="0" w:firstLine="0"/>
              <w:jc w:val="right"/>
              <w:rPr>
                <w:rFonts w:asciiTheme="majorHAnsi" w:hAnsiTheme="majorHAnsi"/>
                <w:i/>
                <w:sz w:val="20"/>
                <w:szCs w:val="20"/>
              </w:rPr>
            </w:pPr>
          </w:p>
        </w:tc>
        <w:tc>
          <w:tcPr>
            <w:tcW w:w="1084" w:type="dxa"/>
            <w:tcBorders>
              <w:left w:val="single" w:sz="4" w:space="0" w:color="008000"/>
              <w:bottom w:val="single" w:sz="12" w:space="0" w:color="008000"/>
              <w:right w:val="single" w:sz="12" w:space="0" w:color="008000"/>
            </w:tcBorders>
          </w:tcPr>
          <w:p w:rsidR="00867EFA" w:rsidRPr="006931C7" w:rsidRDefault="00867EFA" w:rsidP="00E657AE">
            <w:pPr>
              <w:spacing w:before="60" w:after="60"/>
              <w:ind w:left="0" w:firstLine="0"/>
              <w:jc w:val="right"/>
              <w:rPr>
                <w:rFonts w:asciiTheme="majorHAnsi" w:hAnsiTheme="majorHAnsi"/>
                <w:i/>
                <w:sz w:val="20"/>
                <w:szCs w:val="20"/>
              </w:rPr>
            </w:pPr>
          </w:p>
        </w:tc>
        <w:tc>
          <w:tcPr>
            <w:tcW w:w="1185" w:type="dxa"/>
            <w:tcBorders>
              <w:left w:val="single" w:sz="12" w:space="0" w:color="008000"/>
              <w:bottom w:val="single" w:sz="12" w:space="0" w:color="008000"/>
            </w:tcBorders>
          </w:tcPr>
          <w:p w:rsidR="00867EFA" w:rsidRPr="006931C7" w:rsidRDefault="00867EFA" w:rsidP="00E657AE">
            <w:pPr>
              <w:spacing w:before="60" w:after="60"/>
              <w:ind w:left="0" w:firstLine="0"/>
              <w:jc w:val="right"/>
              <w:rPr>
                <w:rFonts w:asciiTheme="majorHAnsi" w:hAnsiTheme="majorHAnsi"/>
                <w:i/>
                <w:sz w:val="20"/>
                <w:szCs w:val="20"/>
              </w:rPr>
            </w:pPr>
          </w:p>
        </w:tc>
      </w:tr>
      <w:tr w:rsidR="00867EFA" w:rsidTr="007A3C19">
        <w:trPr>
          <w:cantSplit/>
        </w:trPr>
        <w:tc>
          <w:tcPr>
            <w:tcW w:w="8991" w:type="dxa"/>
            <w:gridSpan w:val="2"/>
            <w:tcBorders>
              <w:top w:val="single" w:sz="12" w:space="0" w:color="008000"/>
              <w:bottom w:val="single" w:sz="12" w:space="0" w:color="008000"/>
              <w:right w:val="single" w:sz="4" w:space="0" w:color="008000"/>
            </w:tcBorders>
          </w:tcPr>
          <w:p w:rsidR="00867EFA" w:rsidRPr="006931C7" w:rsidRDefault="00867EFA" w:rsidP="0010412E">
            <w:pPr>
              <w:spacing w:before="60" w:after="60"/>
              <w:ind w:left="0" w:firstLine="0"/>
              <w:rPr>
                <w:rFonts w:asciiTheme="majorHAnsi" w:hAnsiTheme="majorHAnsi"/>
                <w:b/>
                <w:sz w:val="20"/>
                <w:szCs w:val="20"/>
              </w:rPr>
            </w:pPr>
            <w:r w:rsidRPr="006931C7">
              <w:rPr>
                <w:rFonts w:asciiTheme="majorHAnsi" w:hAnsiTheme="majorHAnsi"/>
                <w:b/>
                <w:sz w:val="20"/>
                <w:szCs w:val="20"/>
              </w:rPr>
              <w:t>Total</w:t>
            </w:r>
            <w:r>
              <w:rPr>
                <w:rFonts w:asciiTheme="majorHAnsi" w:hAnsiTheme="majorHAnsi"/>
                <w:b/>
                <w:sz w:val="20"/>
                <w:szCs w:val="20"/>
              </w:rPr>
              <w:t xml:space="preserve"> Expenditure</w:t>
            </w:r>
          </w:p>
        </w:tc>
        <w:tc>
          <w:tcPr>
            <w:tcW w:w="974" w:type="dxa"/>
            <w:tcBorders>
              <w:top w:val="single" w:sz="12" w:space="0" w:color="008000"/>
              <w:left w:val="single" w:sz="4" w:space="0" w:color="008000"/>
              <w:bottom w:val="single" w:sz="12" w:space="0" w:color="008000"/>
              <w:right w:val="single" w:sz="4" w:space="0" w:color="008000"/>
            </w:tcBorders>
          </w:tcPr>
          <w:p w:rsidR="00867EFA" w:rsidRPr="006931C7" w:rsidRDefault="00C10763" w:rsidP="00E657AE">
            <w:pPr>
              <w:spacing w:before="60" w:after="60"/>
              <w:ind w:left="0" w:firstLine="0"/>
              <w:jc w:val="right"/>
              <w:rPr>
                <w:rFonts w:asciiTheme="majorHAnsi" w:hAnsiTheme="majorHAnsi"/>
                <w:b/>
                <w:sz w:val="20"/>
                <w:szCs w:val="20"/>
              </w:rPr>
            </w:pPr>
            <w:r>
              <w:rPr>
                <w:rFonts w:asciiTheme="majorHAnsi" w:hAnsiTheme="majorHAnsi"/>
                <w:b/>
                <w:sz w:val="20"/>
                <w:szCs w:val="20"/>
              </w:rPr>
              <w:t>501,453</w:t>
            </w:r>
          </w:p>
        </w:tc>
        <w:tc>
          <w:tcPr>
            <w:tcW w:w="967" w:type="dxa"/>
            <w:tcBorders>
              <w:top w:val="single" w:sz="12" w:space="0" w:color="008000"/>
              <w:left w:val="single" w:sz="4" w:space="0" w:color="008000"/>
              <w:bottom w:val="single" w:sz="12" w:space="0" w:color="008000"/>
              <w:right w:val="single" w:sz="4" w:space="0" w:color="008000"/>
            </w:tcBorders>
          </w:tcPr>
          <w:p w:rsidR="00867EFA" w:rsidRPr="006931C7" w:rsidRDefault="001A338C" w:rsidP="00C10763">
            <w:pPr>
              <w:spacing w:before="60" w:after="60"/>
              <w:ind w:left="0" w:firstLine="0"/>
              <w:jc w:val="right"/>
              <w:rPr>
                <w:rFonts w:asciiTheme="majorHAnsi" w:hAnsiTheme="majorHAnsi"/>
                <w:b/>
                <w:sz w:val="20"/>
                <w:szCs w:val="20"/>
              </w:rPr>
            </w:pPr>
            <w:r>
              <w:rPr>
                <w:rFonts w:asciiTheme="majorHAnsi" w:hAnsiTheme="majorHAnsi"/>
                <w:b/>
                <w:sz w:val="20"/>
                <w:szCs w:val="20"/>
              </w:rPr>
              <w:t>48,260</w:t>
            </w:r>
          </w:p>
        </w:tc>
        <w:tc>
          <w:tcPr>
            <w:tcW w:w="1084" w:type="dxa"/>
            <w:tcBorders>
              <w:top w:val="single" w:sz="12" w:space="0" w:color="008000"/>
              <w:bottom w:val="single" w:sz="12" w:space="0" w:color="008000"/>
              <w:right w:val="single" w:sz="12" w:space="0" w:color="008000"/>
            </w:tcBorders>
          </w:tcPr>
          <w:p w:rsidR="00867EFA" w:rsidRPr="006931C7" w:rsidRDefault="00C10763" w:rsidP="00E657AE">
            <w:pPr>
              <w:spacing w:before="60" w:after="60"/>
              <w:ind w:left="0" w:firstLine="0"/>
              <w:jc w:val="right"/>
              <w:rPr>
                <w:rFonts w:asciiTheme="majorHAnsi" w:hAnsiTheme="majorHAnsi"/>
                <w:b/>
                <w:sz w:val="20"/>
                <w:szCs w:val="20"/>
              </w:rPr>
            </w:pPr>
            <w:r>
              <w:rPr>
                <w:rFonts w:asciiTheme="majorHAnsi" w:hAnsiTheme="majorHAnsi"/>
                <w:b/>
                <w:sz w:val="20"/>
                <w:szCs w:val="20"/>
              </w:rPr>
              <w:t>667,997</w:t>
            </w:r>
          </w:p>
        </w:tc>
        <w:tc>
          <w:tcPr>
            <w:tcW w:w="1185" w:type="dxa"/>
            <w:tcBorders>
              <w:top w:val="single" w:sz="12" w:space="0" w:color="008000"/>
              <w:left w:val="single" w:sz="12" w:space="0" w:color="008000"/>
              <w:bottom w:val="single" w:sz="12" w:space="0" w:color="008000"/>
            </w:tcBorders>
          </w:tcPr>
          <w:p w:rsidR="00867EFA" w:rsidRPr="006931C7" w:rsidRDefault="00867EFA" w:rsidP="00C10763">
            <w:pPr>
              <w:spacing w:before="60" w:after="60"/>
              <w:ind w:left="0" w:firstLine="0"/>
              <w:jc w:val="right"/>
              <w:rPr>
                <w:rFonts w:asciiTheme="majorHAnsi" w:hAnsiTheme="majorHAnsi"/>
                <w:b/>
                <w:sz w:val="20"/>
                <w:szCs w:val="20"/>
              </w:rPr>
            </w:pPr>
            <w:r>
              <w:rPr>
                <w:rFonts w:asciiTheme="majorHAnsi" w:hAnsiTheme="majorHAnsi"/>
                <w:b/>
                <w:sz w:val="20"/>
                <w:szCs w:val="20"/>
              </w:rPr>
              <w:t>1,</w:t>
            </w:r>
            <w:r w:rsidR="00C10763">
              <w:rPr>
                <w:rFonts w:asciiTheme="majorHAnsi" w:hAnsiTheme="majorHAnsi"/>
                <w:b/>
                <w:sz w:val="20"/>
                <w:szCs w:val="20"/>
              </w:rPr>
              <w:t>16</w:t>
            </w:r>
            <w:r>
              <w:rPr>
                <w:rFonts w:asciiTheme="majorHAnsi" w:hAnsiTheme="majorHAnsi"/>
                <w:b/>
                <w:sz w:val="20"/>
                <w:szCs w:val="20"/>
              </w:rPr>
              <w:t>9</w:t>
            </w:r>
            <w:r w:rsidR="00C10763">
              <w:rPr>
                <w:rFonts w:asciiTheme="majorHAnsi" w:hAnsiTheme="majorHAnsi"/>
                <w:b/>
                <w:sz w:val="20"/>
                <w:szCs w:val="20"/>
              </w:rPr>
              <w:t>,451</w:t>
            </w:r>
          </w:p>
        </w:tc>
      </w:tr>
      <w:tr w:rsidR="00867EFA" w:rsidRPr="007A3C19" w:rsidTr="007A3C19">
        <w:trPr>
          <w:cantSplit/>
        </w:trPr>
        <w:tc>
          <w:tcPr>
            <w:tcW w:w="8991" w:type="dxa"/>
            <w:gridSpan w:val="2"/>
            <w:tcBorders>
              <w:top w:val="single" w:sz="12" w:space="0" w:color="008000"/>
              <w:bottom w:val="double" w:sz="4" w:space="0" w:color="008000"/>
              <w:right w:val="single" w:sz="4" w:space="0" w:color="008000"/>
            </w:tcBorders>
          </w:tcPr>
          <w:p w:rsidR="00867EFA" w:rsidRPr="007A3C19" w:rsidRDefault="00867EFA" w:rsidP="0010412E">
            <w:pPr>
              <w:spacing w:before="60" w:after="60"/>
              <w:ind w:left="0" w:firstLine="0"/>
              <w:rPr>
                <w:rFonts w:asciiTheme="majorHAnsi" w:hAnsiTheme="majorHAnsi"/>
                <w:b/>
                <w:sz w:val="20"/>
                <w:szCs w:val="20"/>
              </w:rPr>
            </w:pPr>
            <w:r w:rsidRPr="007A3C19">
              <w:rPr>
                <w:rFonts w:asciiTheme="majorHAnsi" w:hAnsiTheme="majorHAnsi"/>
                <w:b/>
                <w:sz w:val="20"/>
                <w:szCs w:val="20"/>
              </w:rPr>
              <w:t>Surplus / (Deficit)</w:t>
            </w:r>
          </w:p>
        </w:tc>
        <w:tc>
          <w:tcPr>
            <w:tcW w:w="974" w:type="dxa"/>
            <w:tcBorders>
              <w:top w:val="single" w:sz="12" w:space="0" w:color="008000"/>
              <w:left w:val="single" w:sz="4" w:space="0" w:color="008000"/>
              <w:bottom w:val="double" w:sz="4" w:space="0" w:color="008000"/>
              <w:right w:val="single" w:sz="4" w:space="0" w:color="008000"/>
            </w:tcBorders>
          </w:tcPr>
          <w:p w:rsidR="00867EFA" w:rsidRPr="007A3C19" w:rsidRDefault="00C10763" w:rsidP="00E657AE">
            <w:pPr>
              <w:spacing w:before="60" w:after="60"/>
              <w:ind w:left="0" w:firstLine="0"/>
              <w:jc w:val="right"/>
              <w:rPr>
                <w:rFonts w:asciiTheme="majorHAnsi" w:hAnsiTheme="majorHAnsi"/>
                <w:b/>
                <w:sz w:val="20"/>
                <w:szCs w:val="20"/>
              </w:rPr>
            </w:pPr>
            <w:r>
              <w:rPr>
                <w:rFonts w:asciiTheme="majorHAnsi" w:hAnsiTheme="majorHAnsi"/>
                <w:b/>
                <w:sz w:val="20"/>
                <w:szCs w:val="20"/>
              </w:rPr>
              <w:t>(1,453)</w:t>
            </w:r>
          </w:p>
        </w:tc>
        <w:tc>
          <w:tcPr>
            <w:tcW w:w="967" w:type="dxa"/>
            <w:tcBorders>
              <w:top w:val="single" w:sz="12" w:space="0" w:color="008000"/>
              <w:left w:val="single" w:sz="4" w:space="0" w:color="008000"/>
              <w:bottom w:val="double" w:sz="4" w:space="0" w:color="008000"/>
              <w:right w:val="single" w:sz="4" w:space="0" w:color="008000"/>
            </w:tcBorders>
          </w:tcPr>
          <w:p w:rsidR="00867EFA" w:rsidRPr="007A3C19" w:rsidRDefault="00C10763" w:rsidP="00E657AE">
            <w:pPr>
              <w:spacing w:before="60" w:after="60"/>
              <w:ind w:left="0" w:firstLine="0"/>
              <w:jc w:val="right"/>
              <w:rPr>
                <w:rFonts w:asciiTheme="majorHAnsi" w:hAnsiTheme="majorHAnsi"/>
                <w:b/>
                <w:sz w:val="20"/>
                <w:szCs w:val="20"/>
              </w:rPr>
            </w:pPr>
            <w:r>
              <w:rPr>
                <w:rFonts w:asciiTheme="majorHAnsi" w:hAnsiTheme="majorHAnsi"/>
                <w:b/>
                <w:sz w:val="20"/>
                <w:szCs w:val="20"/>
              </w:rPr>
              <w:t>60,260</w:t>
            </w:r>
          </w:p>
        </w:tc>
        <w:tc>
          <w:tcPr>
            <w:tcW w:w="1084" w:type="dxa"/>
            <w:tcBorders>
              <w:top w:val="single" w:sz="12" w:space="0" w:color="008000"/>
              <w:bottom w:val="double" w:sz="4" w:space="0" w:color="008000"/>
              <w:right w:val="single" w:sz="12" w:space="0" w:color="008000"/>
            </w:tcBorders>
          </w:tcPr>
          <w:p w:rsidR="00867EFA" w:rsidRPr="007A3C19" w:rsidRDefault="00C10763" w:rsidP="00C10763">
            <w:pPr>
              <w:spacing w:before="60" w:after="60"/>
              <w:ind w:left="0" w:firstLine="0"/>
              <w:jc w:val="right"/>
              <w:rPr>
                <w:rFonts w:asciiTheme="majorHAnsi" w:hAnsiTheme="majorHAnsi"/>
                <w:b/>
                <w:sz w:val="20"/>
                <w:szCs w:val="20"/>
              </w:rPr>
            </w:pPr>
            <w:r>
              <w:rPr>
                <w:rFonts w:asciiTheme="majorHAnsi" w:hAnsiTheme="majorHAnsi"/>
                <w:b/>
                <w:sz w:val="20"/>
                <w:szCs w:val="20"/>
              </w:rPr>
              <w:t>(1,441)</w:t>
            </w:r>
          </w:p>
        </w:tc>
        <w:tc>
          <w:tcPr>
            <w:tcW w:w="1185" w:type="dxa"/>
            <w:tcBorders>
              <w:top w:val="single" w:sz="12" w:space="0" w:color="008000"/>
              <w:left w:val="single" w:sz="12" w:space="0" w:color="008000"/>
              <w:bottom w:val="double" w:sz="4" w:space="0" w:color="008000"/>
            </w:tcBorders>
          </w:tcPr>
          <w:p w:rsidR="00867EFA" w:rsidRPr="007A3C19" w:rsidRDefault="00C10763" w:rsidP="00E657AE">
            <w:pPr>
              <w:spacing w:before="60" w:after="60"/>
              <w:ind w:left="0" w:firstLine="0"/>
              <w:jc w:val="right"/>
              <w:rPr>
                <w:rFonts w:asciiTheme="majorHAnsi" w:hAnsiTheme="majorHAnsi"/>
                <w:b/>
                <w:sz w:val="20"/>
                <w:szCs w:val="20"/>
              </w:rPr>
            </w:pPr>
            <w:r>
              <w:rPr>
                <w:rFonts w:asciiTheme="majorHAnsi" w:hAnsiTheme="majorHAnsi"/>
                <w:b/>
                <w:sz w:val="20"/>
                <w:szCs w:val="20"/>
              </w:rPr>
              <w:t>57,365</w:t>
            </w:r>
          </w:p>
        </w:tc>
      </w:tr>
    </w:tbl>
    <w:p w:rsidR="001821C1" w:rsidRPr="0045161B" w:rsidRDefault="00CD5269" w:rsidP="00D66F48">
      <w:pPr>
        <w:spacing w:before="60" w:after="60"/>
        <w:ind w:left="0" w:firstLine="0"/>
        <w:rPr>
          <w:rFonts w:asciiTheme="majorHAnsi" w:hAnsiTheme="majorHAnsi"/>
          <w:sz w:val="18"/>
          <w:szCs w:val="18"/>
        </w:rPr>
      </w:pPr>
      <w:r>
        <w:rPr>
          <w:rFonts w:asciiTheme="majorHAnsi" w:hAnsiTheme="majorHAnsi"/>
          <w:sz w:val="18"/>
          <w:szCs w:val="18"/>
        </w:rPr>
        <w:t xml:space="preserve">1 </w:t>
      </w:r>
      <w:r w:rsidR="0045161B">
        <w:rPr>
          <w:rFonts w:asciiTheme="majorHAnsi" w:hAnsiTheme="majorHAnsi"/>
          <w:sz w:val="18"/>
          <w:szCs w:val="18"/>
        </w:rPr>
        <w:t xml:space="preserve">The salary and on-costs for the </w:t>
      </w:r>
      <w:proofErr w:type="spellStart"/>
      <w:r w:rsidR="0045161B">
        <w:rPr>
          <w:rFonts w:asciiTheme="majorHAnsi" w:hAnsiTheme="majorHAnsi"/>
          <w:sz w:val="18"/>
          <w:szCs w:val="18"/>
        </w:rPr>
        <w:t>TongaHealth</w:t>
      </w:r>
      <w:proofErr w:type="spellEnd"/>
      <w:r w:rsidR="0045161B">
        <w:rPr>
          <w:rFonts w:asciiTheme="majorHAnsi" w:hAnsiTheme="majorHAnsi"/>
          <w:sz w:val="18"/>
          <w:szCs w:val="18"/>
        </w:rPr>
        <w:t xml:space="preserve"> Finance Manager and M&amp;E Manager positions are currently funded by DFAT.</w:t>
      </w:r>
    </w:p>
    <w:sectPr w:rsidR="001821C1" w:rsidRPr="0045161B" w:rsidSect="00205F66">
      <w:headerReference w:type="default" r:id="rId10"/>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38B" w:rsidRDefault="0092238B" w:rsidP="009B7E73">
      <w:pPr>
        <w:spacing w:before="0" w:after="0" w:line="240" w:lineRule="auto"/>
      </w:pPr>
      <w:r>
        <w:separator/>
      </w:r>
    </w:p>
  </w:endnote>
  <w:endnote w:type="continuationSeparator" w:id="0">
    <w:p w:rsidR="0092238B" w:rsidRDefault="0092238B" w:rsidP="009B7E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6E" w:rsidRPr="00A0106B" w:rsidRDefault="002B0D6E" w:rsidP="009B7E73">
    <w:pPr>
      <w:pStyle w:val="Footer"/>
      <w:rPr>
        <w:rFonts w:asciiTheme="majorHAnsi" w:hAnsiTheme="majorHAnsi"/>
        <w:sz w:val="18"/>
        <w:szCs w:val="18"/>
      </w:rPr>
    </w:pPr>
    <w:r w:rsidRPr="00A0106B">
      <w:rPr>
        <w:rFonts w:asciiTheme="majorHAnsi" w:hAnsiTheme="majorHAnsi"/>
        <w:sz w:val="18"/>
        <w:szCs w:val="18"/>
      </w:rPr>
      <w:ptab w:relativeTo="margin" w:alignment="center" w:leader="none"/>
    </w:r>
    <w:r w:rsidRPr="00A0106B">
      <w:rPr>
        <w:rFonts w:asciiTheme="majorHAnsi" w:hAnsiTheme="majorHAnsi"/>
        <w:sz w:val="18"/>
        <w:szCs w:val="18"/>
      </w:rPr>
      <w:ptab w:relativeTo="margin" w:alignment="right" w:leader="none"/>
    </w:r>
    <w:r w:rsidR="0099779B" w:rsidRPr="00A0106B">
      <w:rPr>
        <w:rFonts w:asciiTheme="majorHAnsi" w:hAnsiTheme="majorHAnsi"/>
        <w:sz w:val="18"/>
        <w:szCs w:val="18"/>
      </w:rPr>
      <w:fldChar w:fldCharType="begin"/>
    </w:r>
    <w:r w:rsidRPr="00A0106B">
      <w:rPr>
        <w:rFonts w:asciiTheme="majorHAnsi" w:hAnsiTheme="majorHAnsi"/>
        <w:sz w:val="18"/>
        <w:szCs w:val="18"/>
      </w:rPr>
      <w:instrText xml:space="preserve"> PAGE   \* MERGEFORMAT </w:instrText>
    </w:r>
    <w:r w:rsidR="0099779B" w:rsidRPr="00A0106B">
      <w:rPr>
        <w:rFonts w:asciiTheme="majorHAnsi" w:hAnsiTheme="majorHAnsi"/>
        <w:sz w:val="18"/>
        <w:szCs w:val="18"/>
      </w:rPr>
      <w:fldChar w:fldCharType="separate"/>
    </w:r>
    <w:r w:rsidR="00384342">
      <w:rPr>
        <w:rFonts w:asciiTheme="majorHAnsi" w:hAnsiTheme="majorHAnsi"/>
        <w:noProof/>
        <w:sz w:val="18"/>
        <w:szCs w:val="18"/>
      </w:rPr>
      <w:t>1</w:t>
    </w:r>
    <w:r w:rsidR="0099779B" w:rsidRPr="00A0106B">
      <w:rPr>
        <w:rFonts w:asciiTheme="majorHAnsi" w:hAnsiTheme="maj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38B" w:rsidRDefault="0092238B" w:rsidP="009B7E73">
      <w:pPr>
        <w:spacing w:before="0" w:after="0" w:line="240" w:lineRule="auto"/>
      </w:pPr>
      <w:r>
        <w:separator/>
      </w:r>
    </w:p>
  </w:footnote>
  <w:footnote w:type="continuationSeparator" w:id="0">
    <w:p w:rsidR="0092238B" w:rsidRDefault="0092238B" w:rsidP="009B7E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6E" w:rsidRPr="00A0106B" w:rsidRDefault="002B0D6E" w:rsidP="009B7E73">
    <w:pPr>
      <w:pStyle w:val="Header"/>
      <w:rPr>
        <w:rFonts w:asciiTheme="majorHAnsi" w:hAnsiTheme="majorHAnsi"/>
        <w:sz w:val="18"/>
        <w:szCs w:val="18"/>
      </w:rPr>
    </w:pPr>
    <w:r w:rsidRPr="00A0106B">
      <w:rPr>
        <w:rFonts w:asciiTheme="majorHAnsi" w:hAnsiTheme="majorHAnsi"/>
        <w:noProof/>
        <w:sz w:val="18"/>
        <w:szCs w:val="18"/>
        <w:lang w:val="en-US"/>
      </w:rPr>
      <w:drawing>
        <wp:anchor distT="0" distB="0" distL="114300" distR="114300" simplePos="0" relativeHeight="251659264" behindDoc="0" locked="0" layoutInCell="1" allowOverlap="1">
          <wp:simplePos x="0" y="0"/>
          <wp:positionH relativeFrom="column">
            <wp:posOffset>5381625</wp:posOffset>
          </wp:positionH>
          <wp:positionV relativeFrom="paragraph">
            <wp:posOffset>-87630</wp:posOffset>
          </wp:positionV>
          <wp:extent cx="381000" cy="323850"/>
          <wp:effectExtent l="0" t="0" r="0" b="0"/>
          <wp:wrapSquare wrapText="bothSides"/>
          <wp:docPr id="3" name="Picture 0" descr="TH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Logo_Clear.png"/>
                  <pic:cNvPicPr/>
                </pic:nvPicPr>
                <pic:blipFill>
                  <a:blip r:embed="rId1"/>
                  <a:stretch>
                    <a:fillRect/>
                  </a:stretch>
                </pic:blipFill>
                <pic:spPr>
                  <a:xfrm>
                    <a:off x="0" y="0"/>
                    <a:ext cx="381000" cy="323850"/>
                  </a:xfrm>
                  <a:prstGeom prst="rect">
                    <a:avLst/>
                  </a:prstGeom>
                </pic:spPr>
              </pic:pic>
            </a:graphicData>
          </a:graphic>
        </wp:anchor>
      </w:drawing>
    </w:r>
    <w:r w:rsidRPr="00A0106B">
      <w:rPr>
        <w:rFonts w:asciiTheme="majorHAnsi" w:hAnsiTheme="majorHAnsi"/>
        <w:sz w:val="18"/>
        <w:szCs w:val="18"/>
      </w:rPr>
      <w:ptab w:relativeTo="margin" w:alignment="center" w:leader="none"/>
    </w:r>
    <w:r w:rsidRPr="00A0106B">
      <w:rPr>
        <w:rFonts w:asciiTheme="majorHAnsi" w:hAnsiTheme="majorHAnsi"/>
        <w:sz w:val="18"/>
        <w:szCs w:val="18"/>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6E" w:rsidRPr="00A0106B" w:rsidRDefault="002B0D6E" w:rsidP="009B7E73">
    <w:pPr>
      <w:pStyle w:val="Header"/>
      <w:rPr>
        <w:rFonts w:asciiTheme="majorHAnsi" w:hAnsiTheme="majorHAnsi"/>
        <w:sz w:val="18"/>
        <w:szCs w:val="18"/>
      </w:rPr>
    </w:pPr>
    <w:r w:rsidRPr="00A0106B">
      <w:rPr>
        <w:rFonts w:asciiTheme="majorHAnsi" w:hAnsiTheme="majorHAnsi"/>
        <w:noProof/>
        <w:sz w:val="18"/>
        <w:szCs w:val="18"/>
        <w:lang w:val="en-US"/>
      </w:rPr>
      <w:drawing>
        <wp:anchor distT="0" distB="0" distL="114300" distR="114300" simplePos="0" relativeHeight="251661312" behindDoc="0" locked="0" layoutInCell="1" allowOverlap="1">
          <wp:simplePos x="0" y="0"/>
          <wp:positionH relativeFrom="column">
            <wp:posOffset>8496300</wp:posOffset>
          </wp:positionH>
          <wp:positionV relativeFrom="paragraph">
            <wp:posOffset>-85725</wp:posOffset>
          </wp:positionV>
          <wp:extent cx="381000" cy="323850"/>
          <wp:effectExtent l="0" t="0" r="0" b="0"/>
          <wp:wrapSquare wrapText="bothSides"/>
          <wp:docPr id="1" name="Picture 0" descr="TH Logo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Logo_Clear.png"/>
                  <pic:cNvPicPr/>
                </pic:nvPicPr>
                <pic:blipFill>
                  <a:blip r:embed="rId1"/>
                  <a:stretch>
                    <a:fillRect/>
                  </a:stretch>
                </pic:blipFill>
                <pic:spPr>
                  <a:xfrm>
                    <a:off x="0" y="0"/>
                    <a:ext cx="381000" cy="323850"/>
                  </a:xfrm>
                  <a:prstGeom prst="rect">
                    <a:avLst/>
                  </a:prstGeom>
                </pic:spPr>
              </pic:pic>
            </a:graphicData>
          </a:graphic>
        </wp:anchor>
      </w:drawing>
    </w:r>
    <w:r w:rsidRPr="00A0106B">
      <w:rPr>
        <w:rFonts w:asciiTheme="majorHAnsi" w:hAnsiTheme="majorHAnsi"/>
        <w:sz w:val="18"/>
        <w:szCs w:val="18"/>
      </w:rPr>
      <w:ptab w:relativeTo="margin" w:alignment="center" w:leader="none"/>
    </w:r>
    <w:r w:rsidRPr="00A0106B">
      <w:rPr>
        <w:rFonts w:asciiTheme="majorHAnsi" w:hAnsiTheme="majorHAnsi"/>
        <w:sz w:val="18"/>
        <w:szCs w:val="18"/>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5FA"/>
    <w:multiLevelType w:val="hybridMultilevel"/>
    <w:tmpl w:val="D498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52586"/>
    <w:multiLevelType w:val="hybridMultilevel"/>
    <w:tmpl w:val="4CC211C2"/>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138D8"/>
    <w:multiLevelType w:val="hybridMultilevel"/>
    <w:tmpl w:val="FD1E3370"/>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3E8A"/>
    <w:multiLevelType w:val="hybridMultilevel"/>
    <w:tmpl w:val="001A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CD3765"/>
    <w:multiLevelType w:val="hybridMultilevel"/>
    <w:tmpl w:val="C41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B0CFF"/>
    <w:multiLevelType w:val="hybridMultilevel"/>
    <w:tmpl w:val="7E54DFCE"/>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83144C"/>
    <w:multiLevelType w:val="hybridMultilevel"/>
    <w:tmpl w:val="A708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15F36"/>
    <w:multiLevelType w:val="hybridMultilevel"/>
    <w:tmpl w:val="D3D42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41FA3"/>
    <w:multiLevelType w:val="hybridMultilevel"/>
    <w:tmpl w:val="4656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C359E6"/>
    <w:multiLevelType w:val="hybridMultilevel"/>
    <w:tmpl w:val="11E4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818DA"/>
    <w:multiLevelType w:val="hybridMultilevel"/>
    <w:tmpl w:val="3FAC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53570A"/>
    <w:multiLevelType w:val="hybridMultilevel"/>
    <w:tmpl w:val="BDF63D9C"/>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9219D"/>
    <w:multiLevelType w:val="hybridMultilevel"/>
    <w:tmpl w:val="5A38B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32395"/>
    <w:multiLevelType w:val="hybridMultilevel"/>
    <w:tmpl w:val="8164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B21DC"/>
    <w:multiLevelType w:val="hybridMultilevel"/>
    <w:tmpl w:val="39CA87A6"/>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6631B"/>
    <w:multiLevelType w:val="hybridMultilevel"/>
    <w:tmpl w:val="83B4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51087"/>
    <w:multiLevelType w:val="hybridMultilevel"/>
    <w:tmpl w:val="68224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521EF"/>
    <w:multiLevelType w:val="hybridMultilevel"/>
    <w:tmpl w:val="19A6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C4C7C"/>
    <w:multiLevelType w:val="hybridMultilevel"/>
    <w:tmpl w:val="0FD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E25B97"/>
    <w:multiLevelType w:val="hybridMultilevel"/>
    <w:tmpl w:val="F84C1C60"/>
    <w:lvl w:ilvl="0" w:tplc="ED488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7D5FEA"/>
    <w:multiLevelType w:val="hybridMultilevel"/>
    <w:tmpl w:val="C95444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3956E82"/>
    <w:multiLevelType w:val="hybridMultilevel"/>
    <w:tmpl w:val="FD1C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F3415B"/>
    <w:multiLevelType w:val="hybridMultilevel"/>
    <w:tmpl w:val="1ADCED88"/>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B0F18"/>
    <w:multiLevelType w:val="hybridMultilevel"/>
    <w:tmpl w:val="5BF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A0A0D"/>
    <w:multiLevelType w:val="hybridMultilevel"/>
    <w:tmpl w:val="00D66958"/>
    <w:lvl w:ilvl="0" w:tplc="2D4AB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F22DB"/>
    <w:multiLevelType w:val="hybridMultilevel"/>
    <w:tmpl w:val="074C5222"/>
    <w:lvl w:ilvl="0" w:tplc="2C620E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C7125"/>
    <w:multiLevelType w:val="hybridMultilevel"/>
    <w:tmpl w:val="C0E0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30F15"/>
    <w:multiLevelType w:val="hybridMultilevel"/>
    <w:tmpl w:val="A84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9064CC"/>
    <w:multiLevelType w:val="hybridMultilevel"/>
    <w:tmpl w:val="75DAC4EA"/>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A921B6"/>
    <w:multiLevelType w:val="hybridMultilevel"/>
    <w:tmpl w:val="E08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6585F"/>
    <w:multiLevelType w:val="hybridMultilevel"/>
    <w:tmpl w:val="E768211A"/>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E50FCB"/>
    <w:multiLevelType w:val="hybridMultilevel"/>
    <w:tmpl w:val="0D085772"/>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46BD0"/>
    <w:multiLevelType w:val="hybridMultilevel"/>
    <w:tmpl w:val="A4E4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6F0C"/>
    <w:multiLevelType w:val="hybridMultilevel"/>
    <w:tmpl w:val="BDE46F32"/>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630162"/>
    <w:multiLevelType w:val="hybridMultilevel"/>
    <w:tmpl w:val="720A8E9C"/>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42A33"/>
    <w:multiLevelType w:val="hybridMultilevel"/>
    <w:tmpl w:val="6272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1B0AB6"/>
    <w:multiLevelType w:val="hybridMultilevel"/>
    <w:tmpl w:val="2828ED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7146F"/>
    <w:multiLevelType w:val="hybridMultilevel"/>
    <w:tmpl w:val="514432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4416D4"/>
    <w:multiLevelType w:val="hybridMultilevel"/>
    <w:tmpl w:val="1546976A"/>
    <w:lvl w:ilvl="0" w:tplc="FBE8BB24">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7"/>
  </w:num>
  <w:num w:numId="4">
    <w:abstractNumId w:val="1"/>
  </w:num>
  <w:num w:numId="5">
    <w:abstractNumId w:val="18"/>
  </w:num>
  <w:num w:numId="6">
    <w:abstractNumId w:val="10"/>
  </w:num>
  <w:num w:numId="7">
    <w:abstractNumId w:val="38"/>
  </w:num>
  <w:num w:numId="8">
    <w:abstractNumId w:val="31"/>
  </w:num>
  <w:num w:numId="9">
    <w:abstractNumId w:val="30"/>
  </w:num>
  <w:num w:numId="10">
    <w:abstractNumId w:val="2"/>
  </w:num>
  <w:num w:numId="11">
    <w:abstractNumId w:val="33"/>
  </w:num>
  <w:num w:numId="12">
    <w:abstractNumId w:val="28"/>
  </w:num>
  <w:num w:numId="13">
    <w:abstractNumId w:val="14"/>
  </w:num>
  <w:num w:numId="14">
    <w:abstractNumId w:val="5"/>
  </w:num>
  <w:num w:numId="15">
    <w:abstractNumId w:val="34"/>
  </w:num>
  <w:num w:numId="16">
    <w:abstractNumId w:val="22"/>
  </w:num>
  <w:num w:numId="17">
    <w:abstractNumId w:val="11"/>
  </w:num>
  <w:num w:numId="18">
    <w:abstractNumId w:val="0"/>
  </w:num>
  <w:num w:numId="19">
    <w:abstractNumId w:val="13"/>
  </w:num>
  <w:num w:numId="20">
    <w:abstractNumId w:val="23"/>
  </w:num>
  <w:num w:numId="21">
    <w:abstractNumId w:val="37"/>
  </w:num>
  <w:num w:numId="22">
    <w:abstractNumId w:val="36"/>
  </w:num>
  <w:num w:numId="23">
    <w:abstractNumId w:val="35"/>
  </w:num>
  <w:num w:numId="24">
    <w:abstractNumId w:val="19"/>
  </w:num>
  <w:num w:numId="25">
    <w:abstractNumId w:val="16"/>
  </w:num>
  <w:num w:numId="26">
    <w:abstractNumId w:val="25"/>
  </w:num>
  <w:num w:numId="27">
    <w:abstractNumId w:val="6"/>
  </w:num>
  <w:num w:numId="28">
    <w:abstractNumId w:val="26"/>
  </w:num>
  <w:num w:numId="29">
    <w:abstractNumId w:val="9"/>
  </w:num>
  <w:num w:numId="30">
    <w:abstractNumId w:val="12"/>
  </w:num>
  <w:num w:numId="31">
    <w:abstractNumId w:val="4"/>
  </w:num>
  <w:num w:numId="32">
    <w:abstractNumId w:val="15"/>
  </w:num>
  <w:num w:numId="33">
    <w:abstractNumId w:val="32"/>
  </w:num>
  <w:num w:numId="34">
    <w:abstractNumId w:val="29"/>
  </w:num>
  <w:num w:numId="35">
    <w:abstractNumId w:val="27"/>
  </w:num>
  <w:num w:numId="36">
    <w:abstractNumId w:val="3"/>
  </w:num>
  <w:num w:numId="37">
    <w:abstractNumId w:val="21"/>
  </w:num>
  <w:num w:numId="38">
    <w:abstractNumId w:val="8"/>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73"/>
    <w:rsid w:val="00005955"/>
    <w:rsid w:val="00025E27"/>
    <w:rsid w:val="00046C62"/>
    <w:rsid w:val="0006186C"/>
    <w:rsid w:val="000C66FE"/>
    <w:rsid w:val="000D190C"/>
    <w:rsid w:val="00103899"/>
    <w:rsid w:val="0010412E"/>
    <w:rsid w:val="0010580C"/>
    <w:rsid w:val="0014681D"/>
    <w:rsid w:val="00154E10"/>
    <w:rsid w:val="001663C3"/>
    <w:rsid w:val="001754AD"/>
    <w:rsid w:val="001778C9"/>
    <w:rsid w:val="001821C1"/>
    <w:rsid w:val="00185D3D"/>
    <w:rsid w:val="001A1A8F"/>
    <w:rsid w:val="001A338C"/>
    <w:rsid w:val="001A73BE"/>
    <w:rsid w:val="001C1ED8"/>
    <w:rsid w:val="001D4870"/>
    <w:rsid w:val="001E369F"/>
    <w:rsid w:val="002027E7"/>
    <w:rsid w:val="00205F66"/>
    <w:rsid w:val="002349E5"/>
    <w:rsid w:val="0024315D"/>
    <w:rsid w:val="002473F0"/>
    <w:rsid w:val="00277A00"/>
    <w:rsid w:val="002854D8"/>
    <w:rsid w:val="002B0D6E"/>
    <w:rsid w:val="002B3EBE"/>
    <w:rsid w:val="002C106F"/>
    <w:rsid w:val="002E0209"/>
    <w:rsid w:val="002E169D"/>
    <w:rsid w:val="00304F69"/>
    <w:rsid w:val="003106B4"/>
    <w:rsid w:val="003151DD"/>
    <w:rsid w:val="00322E69"/>
    <w:rsid w:val="0032675C"/>
    <w:rsid w:val="003357C6"/>
    <w:rsid w:val="00351589"/>
    <w:rsid w:val="00373053"/>
    <w:rsid w:val="003827C6"/>
    <w:rsid w:val="00384342"/>
    <w:rsid w:val="00391DF6"/>
    <w:rsid w:val="00396A4E"/>
    <w:rsid w:val="003B1735"/>
    <w:rsid w:val="003B5868"/>
    <w:rsid w:val="003C4D4E"/>
    <w:rsid w:val="00442D76"/>
    <w:rsid w:val="0045161B"/>
    <w:rsid w:val="0045684B"/>
    <w:rsid w:val="004647F7"/>
    <w:rsid w:val="00472B24"/>
    <w:rsid w:val="0047505E"/>
    <w:rsid w:val="00476AF1"/>
    <w:rsid w:val="00490097"/>
    <w:rsid w:val="00491C31"/>
    <w:rsid w:val="004A46C0"/>
    <w:rsid w:val="004D08C2"/>
    <w:rsid w:val="004D1840"/>
    <w:rsid w:val="004E5DA0"/>
    <w:rsid w:val="004F250B"/>
    <w:rsid w:val="0051569D"/>
    <w:rsid w:val="005254FC"/>
    <w:rsid w:val="0053356A"/>
    <w:rsid w:val="00534D3E"/>
    <w:rsid w:val="00563DC3"/>
    <w:rsid w:val="0059665E"/>
    <w:rsid w:val="005B1C00"/>
    <w:rsid w:val="005B363D"/>
    <w:rsid w:val="005B72E0"/>
    <w:rsid w:val="006023D1"/>
    <w:rsid w:val="00607E50"/>
    <w:rsid w:val="00651E53"/>
    <w:rsid w:val="0065491E"/>
    <w:rsid w:val="00681836"/>
    <w:rsid w:val="00692175"/>
    <w:rsid w:val="006931C7"/>
    <w:rsid w:val="006A158B"/>
    <w:rsid w:val="006B2981"/>
    <w:rsid w:val="006B3B89"/>
    <w:rsid w:val="006D086E"/>
    <w:rsid w:val="006D4FC1"/>
    <w:rsid w:val="006D71C7"/>
    <w:rsid w:val="006F2E5F"/>
    <w:rsid w:val="007046A9"/>
    <w:rsid w:val="00706DFA"/>
    <w:rsid w:val="0072644D"/>
    <w:rsid w:val="00740BE8"/>
    <w:rsid w:val="00740CB8"/>
    <w:rsid w:val="00742E0A"/>
    <w:rsid w:val="00747E44"/>
    <w:rsid w:val="0075190F"/>
    <w:rsid w:val="007579F5"/>
    <w:rsid w:val="007722D7"/>
    <w:rsid w:val="007909D9"/>
    <w:rsid w:val="007A3C19"/>
    <w:rsid w:val="007B070B"/>
    <w:rsid w:val="007C0086"/>
    <w:rsid w:val="00805C28"/>
    <w:rsid w:val="0081122D"/>
    <w:rsid w:val="00815453"/>
    <w:rsid w:val="00846247"/>
    <w:rsid w:val="00851061"/>
    <w:rsid w:val="00855B2C"/>
    <w:rsid w:val="00862B1F"/>
    <w:rsid w:val="00867EFA"/>
    <w:rsid w:val="00877B09"/>
    <w:rsid w:val="00881E80"/>
    <w:rsid w:val="0088671C"/>
    <w:rsid w:val="008D61E4"/>
    <w:rsid w:val="008F45BF"/>
    <w:rsid w:val="00906CFB"/>
    <w:rsid w:val="0092238B"/>
    <w:rsid w:val="00941C1B"/>
    <w:rsid w:val="00942F9E"/>
    <w:rsid w:val="00946438"/>
    <w:rsid w:val="009603EB"/>
    <w:rsid w:val="00962122"/>
    <w:rsid w:val="00963D6D"/>
    <w:rsid w:val="009649BF"/>
    <w:rsid w:val="0099779B"/>
    <w:rsid w:val="009B4387"/>
    <w:rsid w:val="009B46CF"/>
    <w:rsid w:val="009B7045"/>
    <w:rsid w:val="009B7E73"/>
    <w:rsid w:val="009C779F"/>
    <w:rsid w:val="009D6ADC"/>
    <w:rsid w:val="009E309E"/>
    <w:rsid w:val="009F1518"/>
    <w:rsid w:val="00A007F2"/>
    <w:rsid w:val="00A0106B"/>
    <w:rsid w:val="00A0553C"/>
    <w:rsid w:val="00A2727E"/>
    <w:rsid w:val="00A32D86"/>
    <w:rsid w:val="00A72992"/>
    <w:rsid w:val="00AA23A4"/>
    <w:rsid w:val="00AA356D"/>
    <w:rsid w:val="00AB51C5"/>
    <w:rsid w:val="00AF366B"/>
    <w:rsid w:val="00B322AC"/>
    <w:rsid w:val="00B63C81"/>
    <w:rsid w:val="00BA0001"/>
    <w:rsid w:val="00BA085C"/>
    <w:rsid w:val="00BB11E6"/>
    <w:rsid w:val="00BB1411"/>
    <w:rsid w:val="00BB5DB2"/>
    <w:rsid w:val="00BC0818"/>
    <w:rsid w:val="00BC66A6"/>
    <w:rsid w:val="00BD1421"/>
    <w:rsid w:val="00BE1881"/>
    <w:rsid w:val="00BF18CE"/>
    <w:rsid w:val="00BF7D03"/>
    <w:rsid w:val="00C01035"/>
    <w:rsid w:val="00C03606"/>
    <w:rsid w:val="00C0436A"/>
    <w:rsid w:val="00C06E2F"/>
    <w:rsid w:val="00C10763"/>
    <w:rsid w:val="00C11681"/>
    <w:rsid w:val="00C50E48"/>
    <w:rsid w:val="00C515EF"/>
    <w:rsid w:val="00C76465"/>
    <w:rsid w:val="00C77227"/>
    <w:rsid w:val="00C807E6"/>
    <w:rsid w:val="00C81E70"/>
    <w:rsid w:val="00C900B9"/>
    <w:rsid w:val="00C940D0"/>
    <w:rsid w:val="00C958A9"/>
    <w:rsid w:val="00CB0C6B"/>
    <w:rsid w:val="00CC00D3"/>
    <w:rsid w:val="00CC026C"/>
    <w:rsid w:val="00CC0CD7"/>
    <w:rsid w:val="00CC458D"/>
    <w:rsid w:val="00CC60ED"/>
    <w:rsid w:val="00CC74A1"/>
    <w:rsid w:val="00CD5269"/>
    <w:rsid w:val="00CE04BA"/>
    <w:rsid w:val="00CE6FAC"/>
    <w:rsid w:val="00CF7080"/>
    <w:rsid w:val="00D54EC7"/>
    <w:rsid w:val="00D61FB4"/>
    <w:rsid w:val="00D65D76"/>
    <w:rsid w:val="00D66F48"/>
    <w:rsid w:val="00D76907"/>
    <w:rsid w:val="00DB00A5"/>
    <w:rsid w:val="00DC4DDD"/>
    <w:rsid w:val="00E0565A"/>
    <w:rsid w:val="00E51BCC"/>
    <w:rsid w:val="00E60D84"/>
    <w:rsid w:val="00E657AE"/>
    <w:rsid w:val="00E72386"/>
    <w:rsid w:val="00E84425"/>
    <w:rsid w:val="00E95B41"/>
    <w:rsid w:val="00EB6D62"/>
    <w:rsid w:val="00EC5B5A"/>
    <w:rsid w:val="00EC707E"/>
    <w:rsid w:val="00ED5869"/>
    <w:rsid w:val="00EF4C7B"/>
    <w:rsid w:val="00EF5B7F"/>
    <w:rsid w:val="00EF7594"/>
    <w:rsid w:val="00F07881"/>
    <w:rsid w:val="00F10342"/>
    <w:rsid w:val="00F638D7"/>
    <w:rsid w:val="00F74556"/>
    <w:rsid w:val="00FA49C4"/>
    <w:rsid w:val="00FB072A"/>
    <w:rsid w:val="00FC4831"/>
    <w:rsid w:val="00FC4A6E"/>
    <w:rsid w:val="00FC52E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0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7E73"/>
    <w:rPr>
      <w:lang w:val="en-AU"/>
    </w:rPr>
  </w:style>
  <w:style w:type="paragraph" w:styleId="Footer">
    <w:name w:val="footer"/>
    <w:basedOn w:val="Normal"/>
    <w:link w:val="FooterChar"/>
    <w:uiPriority w:val="99"/>
    <w:unhideWhenUsed/>
    <w:rsid w:val="009B7E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7E73"/>
    <w:rPr>
      <w:lang w:val="en-AU"/>
    </w:rPr>
  </w:style>
  <w:style w:type="paragraph" w:styleId="ListParagraph">
    <w:name w:val="List Paragraph"/>
    <w:basedOn w:val="Normal"/>
    <w:uiPriority w:val="34"/>
    <w:qFormat/>
    <w:rsid w:val="009B7E73"/>
    <w:pPr>
      <w:ind w:left="720"/>
      <w:contextualSpacing/>
    </w:pPr>
  </w:style>
  <w:style w:type="paragraph" w:styleId="FootnoteText">
    <w:name w:val="footnote text"/>
    <w:basedOn w:val="Normal"/>
    <w:link w:val="FootnoteTextChar"/>
    <w:uiPriority w:val="99"/>
    <w:unhideWhenUsed/>
    <w:rsid w:val="009B46CF"/>
    <w:pPr>
      <w:spacing w:before="0" w:after="0" w:line="240" w:lineRule="auto"/>
      <w:ind w:left="0" w:firstLine="0"/>
    </w:pPr>
    <w:rPr>
      <w:rFonts w:eastAsiaTheme="minorEastAsia"/>
      <w:sz w:val="24"/>
      <w:szCs w:val="24"/>
      <w:lang w:val="en-US"/>
    </w:rPr>
  </w:style>
  <w:style w:type="character" w:customStyle="1" w:styleId="FootnoteTextChar">
    <w:name w:val="Footnote Text Char"/>
    <w:basedOn w:val="DefaultParagraphFont"/>
    <w:link w:val="FootnoteText"/>
    <w:uiPriority w:val="99"/>
    <w:rsid w:val="009B46CF"/>
    <w:rPr>
      <w:rFonts w:eastAsiaTheme="minorEastAsia"/>
      <w:sz w:val="24"/>
      <w:szCs w:val="24"/>
    </w:rPr>
  </w:style>
  <w:style w:type="character" w:styleId="FootnoteReference">
    <w:name w:val="footnote reference"/>
    <w:basedOn w:val="DefaultParagraphFont"/>
    <w:uiPriority w:val="99"/>
    <w:unhideWhenUsed/>
    <w:rsid w:val="009B46CF"/>
    <w:rPr>
      <w:vertAlign w:val="superscript"/>
    </w:rPr>
  </w:style>
  <w:style w:type="character" w:styleId="Hyperlink">
    <w:name w:val="Hyperlink"/>
    <w:basedOn w:val="DefaultParagraphFont"/>
    <w:uiPriority w:val="99"/>
    <w:unhideWhenUsed/>
    <w:rsid w:val="009B46CF"/>
    <w:rPr>
      <w:color w:val="0000FF" w:themeColor="hyperlink"/>
      <w:u w:val="single"/>
    </w:rPr>
  </w:style>
  <w:style w:type="paragraph" w:styleId="BalloonText">
    <w:name w:val="Balloon Text"/>
    <w:basedOn w:val="Normal"/>
    <w:link w:val="BalloonTextChar"/>
    <w:uiPriority w:val="99"/>
    <w:semiHidden/>
    <w:unhideWhenUsed/>
    <w:rsid w:val="009B46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CF"/>
    <w:rPr>
      <w:rFonts w:ascii="Tahoma" w:hAnsi="Tahoma" w:cs="Tahoma"/>
      <w:sz w:val="16"/>
      <w:szCs w:val="16"/>
      <w:lang w:val="en-AU"/>
    </w:rPr>
  </w:style>
  <w:style w:type="table" w:styleId="TableGrid">
    <w:name w:val="Table Grid"/>
    <w:basedOn w:val="TableNormal"/>
    <w:uiPriority w:val="59"/>
    <w:rsid w:val="00BC081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38D7"/>
    <w:rPr>
      <w:sz w:val="16"/>
      <w:szCs w:val="16"/>
    </w:rPr>
  </w:style>
  <w:style w:type="paragraph" w:styleId="CommentText">
    <w:name w:val="annotation text"/>
    <w:basedOn w:val="Normal"/>
    <w:link w:val="CommentTextChar"/>
    <w:uiPriority w:val="99"/>
    <w:semiHidden/>
    <w:unhideWhenUsed/>
    <w:rsid w:val="00F638D7"/>
    <w:pPr>
      <w:spacing w:line="240" w:lineRule="auto"/>
    </w:pPr>
    <w:rPr>
      <w:sz w:val="20"/>
      <w:szCs w:val="20"/>
    </w:rPr>
  </w:style>
  <w:style w:type="character" w:customStyle="1" w:styleId="CommentTextChar">
    <w:name w:val="Comment Text Char"/>
    <w:basedOn w:val="DefaultParagraphFont"/>
    <w:link w:val="CommentText"/>
    <w:uiPriority w:val="99"/>
    <w:semiHidden/>
    <w:rsid w:val="00F638D7"/>
    <w:rPr>
      <w:sz w:val="20"/>
      <w:szCs w:val="20"/>
      <w:lang w:val="en-AU"/>
    </w:rPr>
  </w:style>
  <w:style w:type="paragraph" w:styleId="CommentSubject">
    <w:name w:val="annotation subject"/>
    <w:basedOn w:val="CommentText"/>
    <w:next w:val="CommentText"/>
    <w:link w:val="CommentSubjectChar"/>
    <w:uiPriority w:val="99"/>
    <w:semiHidden/>
    <w:unhideWhenUsed/>
    <w:rsid w:val="00F638D7"/>
    <w:rPr>
      <w:b/>
      <w:bCs/>
    </w:rPr>
  </w:style>
  <w:style w:type="character" w:customStyle="1" w:styleId="CommentSubjectChar">
    <w:name w:val="Comment Subject Char"/>
    <w:basedOn w:val="CommentTextChar"/>
    <w:link w:val="CommentSubject"/>
    <w:uiPriority w:val="99"/>
    <w:semiHidden/>
    <w:rsid w:val="00F638D7"/>
    <w:rPr>
      <w:b/>
      <w:bCs/>
      <w:sz w:val="20"/>
      <w:szCs w:val="20"/>
      <w:lang w:val="en-AU"/>
    </w:rPr>
  </w:style>
  <w:style w:type="paragraph" w:styleId="NormalWeb">
    <w:name w:val="Normal (Web)"/>
    <w:basedOn w:val="Normal"/>
    <w:rsid w:val="00C81E70"/>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90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7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B7E73"/>
    <w:rPr>
      <w:lang w:val="en-AU"/>
    </w:rPr>
  </w:style>
  <w:style w:type="paragraph" w:styleId="Footer">
    <w:name w:val="footer"/>
    <w:basedOn w:val="Normal"/>
    <w:link w:val="FooterChar"/>
    <w:uiPriority w:val="99"/>
    <w:unhideWhenUsed/>
    <w:rsid w:val="009B7E7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B7E73"/>
    <w:rPr>
      <w:lang w:val="en-AU"/>
    </w:rPr>
  </w:style>
  <w:style w:type="paragraph" w:styleId="ListParagraph">
    <w:name w:val="List Paragraph"/>
    <w:basedOn w:val="Normal"/>
    <w:uiPriority w:val="34"/>
    <w:qFormat/>
    <w:rsid w:val="009B7E73"/>
    <w:pPr>
      <w:ind w:left="720"/>
      <w:contextualSpacing/>
    </w:pPr>
  </w:style>
  <w:style w:type="paragraph" w:styleId="FootnoteText">
    <w:name w:val="footnote text"/>
    <w:basedOn w:val="Normal"/>
    <w:link w:val="FootnoteTextChar"/>
    <w:uiPriority w:val="99"/>
    <w:unhideWhenUsed/>
    <w:rsid w:val="009B46CF"/>
    <w:pPr>
      <w:spacing w:before="0" w:after="0" w:line="240" w:lineRule="auto"/>
      <w:ind w:left="0" w:firstLine="0"/>
    </w:pPr>
    <w:rPr>
      <w:rFonts w:eastAsiaTheme="minorEastAsia"/>
      <w:sz w:val="24"/>
      <w:szCs w:val="24"/>
      <w:lang w:val="en-US"/>
    </w:rPr>
  </w:style>
  <w:style w:type="character" w:customStyle="1" w:styleId="FootnoteTextChar">
    <w:name w:val="Footnote Text Char"/>
    <w:basedOn w:val="DefaultParagraphFont"/>
    <w:link w:val="FootnoteText"/>
    <w:uiPriority w:val="99"/>
    <w:rsid w:val="009B46CF"/>
    <w:rPr>
      <w:rFonts w:eastAsiaTheme="minorEastAsia"/>
      <w:sz w:val="24"/>
      <w:szCs w:val="24"/>
    </w:rPr>
  </w:style>
  <w:style w:type="character" w:styleId="FootnoteReference">
    <w:name w:val="footnote reference"/>
    <w:basedOn w:val="DefaultParagraphFont"/>
    <w:uiPriority w:val="99"/>
    <w:unhideWhenUsed/>
    <w:rsid w:val="009B46CF"/>
    <w:rPr>
      <w:vertAlign w:val="superscript"/>
    </w:rPr>
  </w:style>
  <w:style w:type="character" w:styleId="Hyperlink">
    <w:name w:val="Hyperlink"/>
    <w:basedOn w:val="DefaultParagraphFont"/>
    <w:uiPriority w:val="99"/>
    <w:unhideWhenUsed/>
    <w:rsid w:val="009B46CF"/>
    <w:rPr>
      <w:color w:val="0000FF" w:themeColor="hyperlink"/>
      <w:u w:val="single"/>
    </w:rPr>
  </w:style>
  <w:style w:type="paragraph" w:styleId="BalloonText">
    <w:name w:val="Balloon Text"/>
    <w:basedOn w:val="Normal"/>
    <w:link w:val="BalloonTextChar"/>
    <w:uiPriority w:val="99"/>
    <w:semiHidden/>
    <w:unhideWhenUsed/>
    <w:rsid w:val="009B46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CF"/>
    <w:rPr>
      <w:rFonts w:ascii="Tahoma" w:hAnsi="Tahoma" w:cs="Tahoma"/>
      <w:sz w:val="16"/>
      <w:szCs w:val="16"/>
      <w:lang w:val="en-AU"/>
    </w:rPr>
  </w:style>
  <w:style w:type="table" w:styleId="TableGrid">
    <w:name w:val="Table Grid"/>
    <w:basedOn w:val="TableNormal"/>
    <w:uiPriority w:val="59"/>
    <w:rsid w:val="00BC081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38D7"/>
    <w:rPr>
      <w:sz w:val="16"/>
      <w:szCs w:val="16"/>
    </w:rPr>
  </w:style>
  <w:style w:type="paragraph" w:styleId="CommentText">
    <w:name w:val="annotation text"/>
    <w:basedOn w:val="Normal"/>
    <w:link w:val="CommentTextChar"/>
    <w:uiPriority w:val="99"/>
    <w:semiHidden/>
    <w:unhideWhenUsed/>
    <w:rsid w:val="00F638D7"/>
    <w:pPr>
      <w:spacing w:line="240" w:lineRule="auto"/>
    </w:pPr>
    <w:rPr>
      <w:sz w:val="20"/>
      <w:szCs w:val="20"/>
    </w:rPr>
  </w:style>
  <w:style w:type="character" w:customStyle="1" w:styleId="CommentTextChar">
    <w:name w:val="Comment Text Char"/>
    <w:basedOn w:val="DefaultParagraphFont"/>
    <w:link w:val="CommentText"/>
    <w:uiPriority w:val="99"/>
    <w:semiHidden/>
    <w:rsid w:val="00F638D7"/>
    <w:rPr>
      <w:sz w:val="20"/>
      <w:szCs w:val="20"/>
      <w:lang w:val="en-AU"/>
    </w:rPr>
  </w:style>
  <w:style w:type="paragraph" w:styleId="CommentSubject">
    <w:name w:val="annotation subject"/>
    <w:basedOn w:val="CommentText"/>
    <w:next w:val="CommentText"/>
    <w:link w:val="CommentSubjectChar"/>
    <w:uiPriority w:val="99"/>
    <w:semiHidden/>
    <w:unhideWhenUsed/>
    <w:rsid w:val="00F638D7"/>
    <w:rPr>
      <w:b/>
      <w:bCs/>
    </w:rPr>
  </w:style>
  <w:style w:type="character" w:customStyle="1" w:styleId="CommentSubjectChar">
    <w:name w:val="Comment Subject Char"/>
    <w:basedOn w:val="CommentTextChar"/>
    <w:link w:val="CommentSubject"/>
    <w:uiPriority w:val="99"/>
    <w:semiHidden/>
    <w:rsid w:val="00F638D7"/>
    <w:rPr>
      <w:b/>
      <w:bCs/>
      <w:sz w:val="20"/>
      <w:szCs w:val="20"/>
      <w:lang w:val="en-AU"/>
    </w:rPr>
  </w:style>
  <w:style w:type="paragraph" w:styleId="NormalWeb">
    <w:name w:val="Normal (Web)"/>
    <w:basedOn w:val="Normal"/>
    <w:rsid w:val="00C81E70"/>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2016-09-13T22:03:00Z</cp:lastPrinted>
  <dcterms:created xsi:type="dcterms:W3CDTF">2017-04-06T04:37:00Z</dcterms:created>
  <dcterms:modified xsi:type="dcterms:W3CDTF">2017-04-06T04:37:00Z</dcterms:modified>
</cp:coreProperties>
</file>